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A-3545/2010 vom 17. Januar 2011</w:t>
      </w:r>
    </w:p>
    <w:p>
      <w:r>
        <w:t>Bundesverwaltungsgericht, 2011-01-17, DE</w:t>
      </w:r>
    </w:p>
    <w:p>
      <w:r>
        <w:rPr>
          <w:b/>
        </w:rPr>
        <w:t xml:space="preserve">Quelle: </w:t>
      </w:r>
      <w:r>
        <w:t>https://mcp.opencaselaw.ch/entscheid/bvger_A-3545_2010</w:t>
      </w:r>
    </w:p>
    <w:p>
      <w:r>
        <w:t>FR: TAF A-3545/2010 du 17 janvier 2011</w:t>
      </w:r>
    </w:p>
    <w:p>
      <w:r>
        <w:t>IT: TAF A-3545/2010 del 17 gennaio 2011</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 Der Beschwerdeführer ist gemäss Art. 48 VwVG zur Beschwerde legitimiert. Auf die frist- und formge­recht eingereichte Beschwerde ist einzutreten.</w:t>
      </w:r>
    </w:p>
    <w:p>
      <w:r>
        <w:rPr>
          <w:b/>
        </w:rPr>
        <w:t>E. 1.2</w:t>
      </w:r>
    </w:p>
    <w:p>
      <w:r>
        <w:t>Im Beschwerdeverfahren gilt der Grundsatz der Rechtsanwendung von Amtes wegen. Das Bundesverwaltungsgericht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S. 21 Rz. 1.54, unter Verweis auf BGE 119 V 347 E. 1a). Im Rechtsmittelverfahren kommt zudem - wenn auch in sehr abgeschwächter Form - das Rügeprinzip mit Begründungserfordernis in dem Sinn zum Tragen, dass der Beschwerdeführer die seine Rügen stützenden Tatsachen darzulegen und allfällige Beweismittel einzu­rei­chen hat (Moser/Beusch/Kneubühler, a.a.O., S. 21 f. Rz. 1.55; Christoph Auer, in: Christoph Auer/Markus Müller/Benjamin Schindler [Hrsg.], Kommentar zum Bundesgesetz über das Verwal­tungsverfahren [VwVG], Zürich/St. Gallen 2008, N. 9 und 12 zu Art. 12).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2</w:t>
      </w:r>
    </w:p>
    <w:p>
      <w:r>
        <w:t>Das Verfahren in Bezug auf den Informationsaustausch mit den USA richtet sich nach der Vo DBA-USA, soweit der Staatsvertrag 10 keine spezielleren Bestimmungen enthält (vgl. Urteil des Bundesverwaltungsgerichts A 4013/2010 vom 15. Juli 2010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B-5297/2008 vom 5. November 2008 E. 5.1). In der Folge obliegt es dem vom Amtshilfeverfahren Betroffenen, den begründeten Tatverdacht klarerweise und entscheidend zu entkräften. Gelingt ihm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 4911/2010 vom 30. November 2010 E. 1.4.2).</w:t>
      </w:r>
    </w:p>
    <w:p>
      <w:r>
        <w:rPr>
          <w:b/>
        </w:rPr>
        <w:t>E. 3</w:t>
      </w:r>
    </w:p>
    <w:p>
      <w:r>
        <w:t>Vorab ist auf das Argument des Beschwerdeführers einzugehen, er habe anlässlich der Kontoeröffnung einen Trust errichten wollen und sei - so das sinngemässe Vorbringen - von Mitarbeitern der UBS AG stattdessen dazu angehalten worden, ein Nummernkonto zu eröffnen. Daher sei - unter Zugrundelegung der damaligen Wünsche des Be­schwerdeführers - von einem virtuellen Trust auszugehen und dieser der Beurteilung des vorliegenden Falles zugrunde zu legen.</w:t>
      </w:r>
    </w:p>
    <w:p>
      <w:r>
        <w:rPr>
          <w:b/>
        </w:rPr>
        <w:t>E. 3.1</w:t>
      </w:r>
    </w:p>
    <w:p>
      <w:r>
        <w:t>Der rechtlichen Würdigung ist der Sachverhalt zugrunde zu legen, wie er sich tatsächlich präsentiert (vgl. Urteil des Bundesverwaltungs­gerichts A 5312/2008 vom 19. Mai 2010 E. 5.2 a.E.). Das Gericht wür­de sich einer falschen Feststellung des Sachverhalts schuldig machen, wenn es seinen Erwägungen einen fiktiven Sachverhalt zugrunde le­gen würde.</w:t>
      </w:r>
    </w:p>
    <w:p>
      <w:r>
        <w:rPr>
          <w:b/>
        </w:rPr>
        <w:t>E. 3.2</w:t>
      </w:r>
    </w:p>
    <w:p>
      <w:r>
        <w:t>Mit der ESTV ist daher festzuhalten, dass es unerheblich ist, was der Beschwerdeführer hätte tun wollen. Selbst wenn er bei der Konto­eröffnung von Angestellten der UBS AG davon abgehalten worden sein sollte, einen Trust zu errichten, hat er tatsächlich ein Nummernkonto eröffnet und eben keinen Trust errichtet. Ob er sich nach Beratung und möglicherweise Überzeugungsarbeit von UBS-Mitarbeitern oder von Anfang an für dieses Vorgehen entschied, ist vorliegend nicht relevant. Es besteht damit kein Raum, von einem «fiktiven Trust» auszugehen. Massgebend ist die tatsächliche Situation.</w:t>
      </w:r>
    </w:p>
    <w:p>
      <w:r>
        <w:rPr>
          <w:b/>
        </w:rPr>
        <w:t>E. 4.1</w:t>
      </w:r>
    </w:p>
    <w:p>
      <w:r>
        <w:t>Das Bundesverwaltungsgericht fällte - wie bereits im Sachverhalt Bst. I erwähnt - am 15. Juli 2010 ein Piloturteil (A 4013/2010) be­tref­fend das Amtshilfegesuch der USA in Sachen UBS-Kunden. Darin ent­schied es, dass der Staatsvertrag 10 für die schweizerischen Behör­den verbindlich sei. Weder innerstaatliches Recht noch innerstaatliche Praxis könnten ihm entgegengehalten werden. Das Piloturteil hält ins­besondere Folgendes fest: Das Bundesverwaltungsgericht sei gemäss Art. 190 BV auch dann gehalten, Völkerrecht anzuwenden, wenn die­ses gegen die Verfassung verstosse. Jedenfalls sei das Völkerrecht dann nicht auf seine Übereinstimmung mit Bundesrecht zu prüfen, wenn das Völkerrecht jünger sei (E. 3). Des Weiteren lege der Staatsvertrag unabänderlich fest, was als steuerbare Einkünfte zu gelten habe. Massgeblich seien nicht die effektiven Kapitalgewinne, sondern 50 % der Bruttoverkaufserlöse. Die betroffene Person könne sich diesbezüglich nur gegen die Gewährung der Amtshilfe wehren, wenn sie belegen könne, dass die Kriterien in ihrem Fall falsch an­ge­wen­det worden seien oder die Resultate der ESTV auf Rechenfehlern basierten. Die im Anhang zum Staatsvertrag 10 genannten Mindest­grenzen be­treffend Saldo und Einkünfte bezö­gen sich auf das Konto. Sie knüpf­ten nicht an die Person des Konto­inhabers oder des wirt­schaft­lich Be­rech­tigten. Daher spiele es keine Rolle, wenn neben der beschwerdeführenden Partei andere Perso­nen eben­falls am Konto wirt­schaftlich be­rechtigt gewesen seien (E. 8.3.3 und E. 9.1). Das Bundesverwaltungsgericht hat diese Rechtsprechung auch nach Auseinandersetzung mit an ihr geäusserter Kritik bestätiget (Urteil des Bundesverwaltungsgerichts A 6053/2010 vom 10. Januar 2011 E. 2.2 ff.). Es besteht kein Anlass, auf sie zurückzukommen.</w:t>
      </w:r>
    </w:p>
    <w:p>
      <w:r>
        <w:rPr>
          <w:b/>
        </w:rPr>
        <w:t>E. 4.2</w:t>
      </w:r>
    </w:p>
    <w:p>
      <w:r>
        <w:t>Im Lichte dieses Urteils zielt damit auch der Einwand des Be­schwerdeführers ins Leere, das Abkommen verstosse gegen den Gleichheitsartikel in der Bundesverfassung, weil Anlageinstrumente wie «Fix­geld und Treuhandanlagen» anders beurteilt würden, als wenn in Ak­tien oder Obligationen investiert worden sei. Rechtsungleich sei auch die unterschiedliche Behandlung von Verkäufen von Obligationen am Tag vor deren Rückzahlung und den Rückzahlungen selber. Zwar kommt dem in Art. 8 BV verankerten Grundsatz der Rechtsgleichheit umfassende Geltung zu. Er ist von sämtlichen Staatsorganen in allen Funktionen (Rechtssetzung und -anwendung) und auf sämtlichen Ebenen der Staatstätigkeit (Bund, Kantone, Gemeinden) zu beachten. Das Rechtsgleichheitsgebot verlangt, dass Gleiches nach Massgabe seiner Gleichheit gleich und Ungleiches nach Massgabe seiner Ungleichheit ungleich zu behandeln ist (vgl. BGE 134 I 23E. 9.1; vgl. auch Urteil des Bundesverwaltungsgerichts A 4876/2010 vom 11. Oktober 2010 E. 3.4.1; Ulrich Häfelin/Georg Müller/Felix Uhlmann, Allgemeines Verwaltungsrecht, 6. Aufl., Zürich/Basel/Genf 2010, N 489 und 495). Wie im erwähnten Urteil des Bundesverwaltungsgerichts E. 3.3 jedoch ausgeführt, würde ein allfälliger Verfassungsverstoss nichts an der Verbindlichkeit der beanstandeten Regelung für das Bundesverwaltungsgericht ändern. Das Bundesverwaltungsgericht könnte zwar eine allfällige Verfassungswidrigkeit feststellen, wäre aber dennoch an die Regelung im Staatsvertrag 10 gebunden.</w:t>
      </w:r>
    </w:p>
    <w:p>
      <w:r>
        <w:rPr>
          <w:b/>
        </w:rPr>
        <w:t>E. 4.3</w:t>
      </w:r>
    </w:p>
    <w:p>
      <w:r>
        <w:t>Was in diesem Zusammenhang den Hinweis des Beschwerdeführers auf die «Völkerrechtsproblematik» und den «sog. Vorrang des Völkerrechts anbelangt», ist das Bundesverwaltungsgericht nicht verpflichtet, sich damit auseinanderzusetzen, da die Beschwerdeinstanz gestützt auf das Rügeprinzip nicht gehalten ist, nach allen möglichen Rechtsfehlern zu suchen, sondern sich für entsprechende Fehler mindestens Anhaltspunkte aus den Parteivorbringen oder den Akten ergeben müssen (Moser/Beusch/Kneubühler, a.a.O., S. 21 f. Rz. 1.54 f.). Das Vorbringen des Beschwerdeführers genügt diesen Anforderungen nicht, da nicht einmal klar ist, ob gemeint ist, es sei die Beachtung eines völkerrechtlichen Gleichbehandlungsgebots zu prüfen oder allgemein Verletzungen des Völkerrechts. Zudem ist festzuhalten, dass die Diskriminierungsverbote der Konvention vom 4. November 1950 zum Schutze der Menschenrechte und Grundfreiheiten (EMRK, SR 0.101) und des Internationalen Pakts vom 16. Dezember 1966 über bürgerliche und politische Rechte (Uno-Pakt II; SR 0.103.2) nicht selbstständig und lediglich bezüglich der Diskriminierung aufgrund von Geschlecht, Rasse, Hautfarbe, Sprache, Religion, politischer oder sonstiger Anschauung, nationaler oder sozialer Herkunft, Zugehörigkeit zu einer nationalen Minderheit, Vermögen, Geburt oder einem sonstigen Status, nicht aber im vorliegenden Zusammenhang angerufen werden können (vgl. BGE 136 II 120 E. 3.3.3, 120 V 1 E. 3.a, 118 Ia 341 E. 3.a, 105 V 1 je mit weiteren Hinweisen; Stefan Oesterhelt, Diskriminierungsverbote im internationalen Steuerrecht der Schweiz, in: ASA 79 269 ff. S. 284-287; Jörg Paul Müller/Markus Schefer, Grundrechte in der Schweiz, im Rahmen der Bundesverfassung, der EMRK und der UNO-Pakte, 4. Aufl., Bern 2008, S. 680). Soweit sich die Rüge des Beschwerdeführers auf andere in der EMRK und dem Uno-Pakt II enthaltene Grundrechte beziehen sollte, wird auf die Ausführungen in den E. 5.4 - 6.6 des zitierten Urteils des Bundesverwaltungsgerichts A 4013/2010 vom 15. Juli 2010 verwiesen.</w:t>
      </w:r>
    </w:p>
    <w:p>
      <w:r>
        <w:rPr>
          <w:b/>
        </w:rPr>
        <w:t>E. 5</w:t>
      </w:r>
    </w:p>
    <w:p>
      <w:r>
        <w:t>Nachdem der Beschwerdeführer mit seinen generellen Rügen gegen den Staatsvertrag 10 nicht durchgedrungen ist, bleibt abschliessend zu prüfen, ob er die Kriterien der Kategorie 2/A/b des Anhangs des Staatsvertrags 10 erfüllt.</w:t>
      </w:r>
    </w:p>
    <w:p>
      <w:r>
        <w:rPr>
          <w:b/>
        </w:rPr>
        <w:t>E. 5.1</w:t>
      </w:r>
    </w:p>
    <w:p>
      <w:r>
        <w:t>Unter die Kategorie 2/A/b fallen gemäss Anhang des Staats­ver­trags 10 natürliche Personen mit Wohnsitz in den USA, welche zwi­schen 2001 und 2008 einen (oder mehrere) «undisclosed (non-W 9) custody account(-s)» oder einen oder mehrere «banking deposit ac­count(-s)» bei der UBS AG hielten bzw. wirtschaftlich daran berechtigt waren, auf welchem/-n zu einem Zeitpunkt im genannten Zeitraum mehr als 1 Mio. Franken lagen (vgl. Anhang zum Staatsvertrag 10 Ziff. 1 Bst. A; Urteil des Bundesverwaltungsgerichts A 4013/2010 vom 15. Juli 2010 E. 8.2). Von den vorstehend aufgeführten Kriterien wird vom Beschwerdeführer einzig die wirtschaftliche Berechtigung bestritten, wobei er vorbringt, am fraglichen Konto nicht allein wirtschaftlich berechtigt gewesen zu sein, sondern zusammen mit verschiedenen Mitgliedern der erweiterten Familie. Dieser Einwand zielt jedoch ins Leere.</w:t>
      </w:r>
    </w:p>
    <w:p>
      <w:r>
        <w:rPr>
          <w:b/>
        </w:rPr>
        <w:t>E. 5.2</w:t>
      </w:r>
    </w:p>
    <w:p>
      <w:r>
        <w:t>Es gilt vorab daran zu erinnern, dass der Staatsvertrag 10 den IRS davon entbindet, im Amtshilfegesuch den Namen der Personen zu nennen, gegen die sich das Gesuch richtet und stattdessen die in Ziff. 1 Bst. A des Staatsvertrages 10 festgelegten Kriterien persönliche Identifikationsmerkmale sind, mittels welcher diese Personen umschrieben werden (Urteile des Bundesverwaltungsgerichts A 4013/2010 vom 15. Juli 2010 E. 7.2.3 und A 4911/2010 vom 30. November 2010 E. 1.4.3). Erfüllt eine Person diese Kriterien, wird - sofern auch die Voraussetzungen von Ziffer 2 des Staatsvertrages 10 vorliegen - Amtshilfe gewährt. Dies bedeutet aber noch nicht, dass die Personen Einkünfte aus den fraglichen Vermögenswerten nicht versteuert haben, sondern gibt den amerikanischen Behörden lediglich die Möglichkeit, dies abzuklären. Für den Entscheid, ob dem IRS Amtshilfe zu leisten ist, spielt es keine Rolle, ob der Beschwerdeführer am fraglichen Konto allein oder zusammen mit anderen Mitgliedern seiner erweiterten Familie wirtschaftlich berechtigt ist: Es ist Sache der amerikanischen Steuerbehörden abzuklären, ob und gegebenenfalls in welchem Ausmass der Beschwerdeführer für die fraglichen Einkünfte in den USA steuerpflichtig ist. Damit ist der Antrag des Beschwerdeführers, die UBS AG habe weitere Notizen von Kundenberatern über damalige Gespräche mit ihm zu edieren, in welchen er darauf hingewiesen habe, dass er nicht allein am fraglichen Konto wirtschaftlich berechtigt sei, abzuweisen.</w:t>
      </w:r>
    </w:p>
    <w:p>
      <w:r>
        <w:rPr>
          <w:b/>
        </w:rPr>
        <w:t>E. 5.3</w:t>
      </w:r>
    </w:p>
    <w:p>
      <w:r>
        <w:t>Die wirtschaftliche (Mit-)Berechtigung an und für sich bestreitet der Beschwerdeführer nicht. Eine Bestreitung würde ihm auch nichts nützen: Die Vorinstanz hatte aufgrund des ausgefüllten Formulars A einen genügend konkreten Anhaltspunkt dafür, dass der Beschwerdeführer am fraglichen Konto wirtschaftlich berechtigt ist und hat ihn damit grundsätzlich zu Recht in das Verfahren einbezogen (E. 1.3). Nunmehr wäre es am Beschwerdeführer gewesen, diese - zu Recht getroffene - Sachverhaltsannahme der Vorinstanz klarerweise und entscheidend zu entkräften. Die diesbezüglichen Ausführungen des Beschwerdeführers sind dazu nicht geeignet: Das Vorbringen, er habe das Formular A nicht verstanden, da es nur in deutscher und französischer Sprache verfasst gewesen sei, ist blosse Behauptung, die zudem dadurch in Frage gestellt wird, dass auf der Rückseite des Formulars der Text in englischer Sprache abgedruckt ist und es somit für den Beschwerdeführer ein Leichtes gewesen wäre, das Formular in Kenntnis seines Inhalts zu unterschreiben. Ebenfalls um eine durch nichts belegte Behauptung handelt es sich beim Vorbringen, der «OK-Haken» sei «mit an Sicherheit grenzender Wahrscheinlich­keit» nicht von ihm angebracht worden (Sachverhalt Bst. K). Es ist dem Beschwerdeführer somit nicht gelungen, unverzüglich und ohne Weiterungen den entsprechenden Urkundenbeweis zu erbringen.</w:t>
      </w:r>
    </w:p>
    <w:p>
      <w:r>
        <w:rPr>
          <w:b/>
        </w:rPr>
        <w:t>E. 5.4</w:t>
      </w:r>
    </w:p>
    <w:p>
      <w:r>
        <w:t>Des Weiteren ist erforderlich, dass die vom Amts­hilfegesuch betroffene Person während dreier aufeinanderfolgender Jahre in der Zeitspanne von 1999 bis heute kein sogenanntes Formu­lar W 9 eingereicht hat. Zudem muss auf dem fraglichen UBS-Konto innerhalb von drei aufeinanderfolgenden Jahren von 1999 bis heute ein jährliches Durchschnittseinkommen von mehr als Fr. 100'000.-- ge­neriert worden sein. Als Einkünfte gelten das «Bruttoeinkommen» (Zin­sen und Dividenden) und Kapitalgewinne, welche als 50 % der Brutto­verkaufserlöse berechnet werden (vgl. Anhang zum Staatsvertrag 10 Ziff. 2 Bst. A/b; Urteil des Bundesverwaltungsgerichts A 4013/2010 vom 15. Juli 2010 E. 8.3.1-8.3.3; oben E. 3.1). Im Urteil des Bundesverwaltungsgerichts A-4013/2010 vom 15. Juli 2010 wurde bereits entschieden (E. 8.3.3, letzter Absatz), dass die betragsmässigen Grenzen nicht an die Person des Kontoinhabers oder des wirtschaftlich Berechtigten anknüpfen, sondern einzig am Konto selbst. Der Staatsvertrag 10 spricht in Ziff. 2 Bst. A/b Ziff. ii des Anhangs klar vom «UBS-Konto» («UBS account»), welches die Einkünfte «erzielte». Daher spielt es auch bezüglich der betraglichen Grenzen keine Rolle, ob am Konto nur eine oder mehrere Personen wirtschaftlich berechtigt waren. Die vom Amtshilfegesuch betroffene Person kann somit eine von möglicherweise mehreren Personen sein, die Kontoinhaber oder am betreffenden Konto wirtschaftlich berechtigt sind. Damit spielt es auch in diesem Zusammenhang keine Rolle, ob neben dem Beschwerdeführer noch weitere Familienangehörige wirtschaftlich Berechtigte des UBS-Kontos sind. Wesentlich - und unbestritten - ist einzig, dass auch der Beschwerdeführer zu den wirtschaftlich Berechtigten gehört. Dass die übrigen Voraussetzungen betreffend das Konto erfüllt seien, wird weder bestritten, noch lassen die Akten daran zweifeln.</w:t>
      </w:r>
    </w:p>
    <w:p>
      <w:r>
        <w:rPr>
          <w:b/>
        </w:rPr>
        <w:t>E. 5.5</w:t>
      </w:r>
    </w:p>
    <w:p>
      <w:r>
        <w:t>Der Beschwerdeführer moniert, dass letztlich die Anlagestrategie des Kundenberaters darüber entscheide, ob Amtshilfe geleistet werde oder nicht, weil es vom jeweiligen Kundenberater abhängig gewesen sei, ob und wie oft Transaktionen vorgenommen worden seien. Dass die Einkünfte je nach Anlagestrategie höher oder tiefer ausfallen (können), liegt in der Natur der Sache, und es ist dem Beschwerdeführer entgegen zu halten, dass er den Vermögensverwaltungsauftrag selbst erteilt hat und es ihm frei gestanden hätte, dem Kundenberater konkrete Aufträge zu erteilen, eine andere Anlagestrategie zu wählen oder diese detailliert mit dem Kundenberater zu besprechen. Ohnehin beschlägt dieses Argument in erster Linie das privatrecht­liche Verhäl­tnis zwischen der Bank und ihrem Kunden, weshalb vorliegend nicht weiter darauf einzugehen ist. Der Staatsvertrag 10 spricht in Kategorie 2/A/b generell von «Einkünfte[n]», ohne dass eine Differenzierung bezüglich der Anlagestrategie erfolgt, und behandelt alle Einkünfte gleich. Soweit der Beschwerdeführer mit seiner Rüge gel­tend machen will, die Berechnung dieser «Einkünfte» erfolge rechts­ungleich, ist darauf hinzuweisen, dass das Bundesverwal­tungs­gericht auch über die Massgeblichkeit dieser Kriterien des Anhangs zum Staatsvertrag 10 entschieden hat (zuvor E. 4.1).</w:t>
      </w:r>
    </w:p>
    <w:p>
      <w:r>
        <w:rPr>
          <w:b/>
        </w:rPr>
        <w:t>E. 5.6</w:t>
      </w:r>
    </w:p>
    <w:p>
      <w:r>
        <w:t>Das Vorliegen der weiteren Voraussetzungen wird nicht bestritten und ergibt sich zudem aus den Akten.</w:t>
      </w:r>
    </w:p>
    <w:p>
      <w:r>
        <w:rPr>
          <w:b/>
        </w:rPr>
        <w:t>E. 6.1</w:t>
      </w:r>
    </w:p>
    <w:p>
      <w:r>
        <w:t>Unbeachtlich, da nicht relevant, sind unter diesen Umständen die übrigen Vorbringen des Beschwerdeführers, namentlich die Gründe, die zur Eröffnung des Kontos führten; dass das Konto nicht aus den USA eröffnet worden sei, sondern der Beschwerdeführer erst später in die USA gezogen sei und die dortige Staatsbürgerschaft angenommen habe; dass es die alleinige Entscheidung der UBS AG gewesen sei, die Kontoverwaltung in die USA zu verlegen; dass keine Transfers aus den USA auf das Konto erfolgt seien; dass Bezüge vom Konto - mit Ausnahme eines mittlerweile zurückgezahlten Darlehens - nie die nach amerikanischem Steuerrecht erlaubte «gift allowance» über­schritten hätten.</w:t>
      </w:r>
    </w:p>
    <w:p>
      <w:r>
        <w:rPr>
          <w:b/>
        </w:rPr>
        <w:t>E. 6.2</w:t>
      </w:r>
    </w:p>
    <w:p>
      <w:r>
        <w:t>Ebensowenig ist auf die Ausführungen des Beschwerdeführers, welche dieser bezüglich der (steuer-)rechtlichen Situation beim Trust macht - insbesondere bezüglich der Steuerpflicht des Gran­tors - einzugehen. Wie oben festgestellt wurde (E. 2.2), hat das Bundesverwaltungsgericht den tatsächlichen Sachverhalt zu beurteilen und nicht den vom Beschwerdeführer gewünschten. Daran würde sich selbst dann nichts ändern, wenn der Beschwerdeführer nachweisen könnte, dass er einen Trust hätte errichten wollen. Damit erweist sich das in den Akten liegende «Trust Agreement» aus dem Jahr 2000 schon aus diesem Grund als irrrelevant. Zudem wäre dieses ohnehin kaum geeignet, die Ausführungen des Beschwerdeführers bezüglich seines Wunsches, einen Trust zu errichten, zu untermauern, erfolgte doch die Kontoeröffnung bereits 1986.</w:t>
      </w:r>
    </w:p>
    <w:p>
      <w:r>
        <w:rPr>
          <w:b/>
        </w:rPr>
        <w:t>E. 7.1</w:t>
      </w:r>
    </w:p>
    <w:p>
      <w:r>
        <w:t>Die Beschwerde ist somit abzuweisen.</w:t>
      </w:r>
    </w:p>
    <w:p>
      <w:r>
        <w:rPr>
          <w:b/>
        </w:rPr>
        <w:t>E. 7.2</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20'000.-- zu ver­rechnen. Der Überschuss von Fr. 5'000.-- ist dem Beschwerdeführer zurückzuerstatten. Eine Parteientschädigung ist nicht zuzusprechen (vgl. Art. 64 Abs. 1 VwVG e contrario und Art. 7 Abs. 1 VGKE e con­tra­rio sowie Art. 7 Abs. 3 VGKE).</w:t>
      </w:r>
    </w:p>
    <w:p>
      <w:r>
        <w:rPr>
          <w:b/>
        </w:rPr>
        <w:t>E. 8</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