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A-3527/2007 vom 20. September 2007</w:t>
      </w:r>
    </w:p>
    <w:p>
      <w:r>
        <w:t>Bundesverwaltungsgericht, 2007-09-20, DE</w:t>
      </w:r>
    </w:p>
    <w:p>
      <w:r>
        <w:rPr>
          <w:b/>
        </w:rPr>
        <w:t xml:space="preserve">Quelle: </w:t>
      </w:r>
      <w:r>
        <w:t>https://mcp.opencaselaw.ch/entscheid/bvger_A-3527_2007</w:t>
      </w:r>
    </w:p>
    <w:p>
      <w:r>
        <w:t>FR: TAF A-3527/2007 du 20 septembre 2007</w:t>
      </w:r>
    </w:p>
    <w:p>
      <w:r>
        <w:t>IT: TAF A-3527/2007 del 20 settembre 2007</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21 und 23 des Bundesgesetzes vom 24. Juni 1902 betreffend die elektrischen Schwach- und Starkstromanlagen [EleG, SR 734.0]).</w:t>
      </w:r>
    </w:p>
    <w:p>
      <w:r>
        <w:rPr>
          <w:b/>
        </w:rPr>
        <w:t>E. 2</w:t>
      </w:r>
    </w:p>
    <w:p>
      <w:r>
        <w:t>Nach Art. 48 Abs. 1 des Bundesgesetzes vom 20. Dezember 1968 über das Verwaltungsverfahren (VwVG, SR 172.021) ist zur Beschwerde berechtigt, wer durch die angefochtene Verfügung berührt ist und ein schutzwürdiges Interesse an deren Aufhebung oder Änderung hat. Der Beschwerdeführer ist als Adressat der angefochtenen Verfügung zur Beschwerde legitimiert.</w:t>
      </w:r>
    </w:p>
    <w:p>
      <w:r>
        <w:rPr>
          <w:b/>
        </w:rPr>
        <w:t>E. 3</w:t>
      </w:r>
    </w:p>
    <w:p>
      <w:r>
        <w:t>Da Eingabeform und -frist (Art. 50 und 52 Abs. 1 VwVG) gewahrt und auch die übrigen Sachurteilsvoraussetzungen erfüllt sind, ist auf die Beschwerde einzutreten.</w:t>
      </w:r>
    </w:p>
    <w:p>
      <w:r>
        <w:rPr>
          <w:b/>
        </w:rPr>
        <w:t>E. 4</w:t>
      </w:r>
    </w:p>
    <w:p>
      <w:r>
        <w:t>In seinen Schlussbemerkungen führt der Beschwerdeführer aus, er sei nicht dazu verpflichtet gewesen, dem EStI die Adressänderung mitzuteilen. Die Vorinstanz erliess vier Verfügungen, welche nicht zugestellt werden konnten. Die Zustellung war erst mit eingeschrieben zugestellter Verfügung vom 24. April 2007 an die richtige Postadresse des Beschwerdeführers erfolgreich (Art. 34 Abs. 1 VwVG).</w:t>
      </w:r>
    </w:p>
    <w:p>
      <w:r>
        <w:rPr>
          <w:b/>
        </w:rPr>
        <w:t>E. 5</w:t>
      </w:r>
    </w:p>
    <w:p>
      <w:r>
        <w:t>Gestütz auf Art. 5 Abs. 1 der Verordnung vom 7. November 2001 über elektrische Niederspannungsinstallationen (NIV, SR 734.27) hat der Eigentümer dafür zu sorgen, dass die elektrischen Installationen ständig den gesetzlichen Anforderungen entsprechen. Er muss auf Verlangen den entsprechenden Sicherheitsnachweis erbringen (Art. 5 Abs. 1 NIV).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w:t>
      </w:r>
    </w:p>
    <w:p>
      <w:r>
        <w:rPr>
          <w:b/>
        </w:rPr>
        <w:t>E. 6</w:t>
      </w:r>
    </w:p>
    <w:p>
      <w:r>
        <w:t>Vorliegend geht es um einen periodischen Sicherheitsnachweis für die elektrischen Installationen der im Eigentum des Beschwerdeführers stehenden Liegenschaft. Der Beschwerdeführer macht unter anderem geltend, auf Art. 5 Abs. 1 und 3 NIV einzugehen halte er für unangebracht, da sich das Gebäude im Rückbau befinde und sämtliche Elektroleitungen "gekappt" worden seien.</w:t>
      </w:r>
    </w:p>
    <w:p>
      <w:r>
        <w:rPr>
          <w:b/>
        </w:rPr>
        <w:t>E. 6.1</w:t>
      </w:r>
    </w:p>
    <w:p>
      <w:r>
        <w:t>Es ist unbestritten, dass der Beschwerdeführer die elektrischen Leitungen in seiner Liegenschaft selbst vom Strom getrennt hatte. Für die Frage, ob der Beschwerdeführer einen Sicherheitsnachweis einzureichen hat, ist nicht entscheidend, ob er die Stromleitungen in seinem Haus (eigenmächtig) gekappt hat (und ob er dazu überhaupt berechtigt war), sondern - wie das EStI zu Recht ausführt - ob die zuständige Netzbetreiberin, welche den Endverbraucher mit Strom aus dem Elektrizitätsverteilnetz beliefert (Art. 2 Abs. 3 NIV), die fragliche Liegenschaft vom Netz abgehängt hat. Nur wenn die Liegenschaft bzw. die Gesamtheit der elektrischen Installationen nicht mehr mit Strom versorgt wird, ist sichergestellt, dass keine Hausinstallationen mehr unter elektrischer Spannung stehen und nur für diesen Fall muss kein Sicherheitsnachweis für die Liegenschaft mehr erbracht werden. Denn nur dann erübrigt sich der Nachweis, dass die Hausinstallationen den grundlegenden Anforderungen an die Sicherheit und zur Vermeidung von Störungen (Art. 3 und 4 NIV) genügen. Entscheidend ist somit, ob die Liegenschaft durch die Netzbetreiberin von der Stromzufuhr abgetrennt wurde, was vorliegend unbestritten nicht der Fall ist. Die hausinterne "Stromkappung" genügt nicht, um von der Pflicht, den Sicherheitsnachweis einzureichen (Art. 5 NIV), entbunden zu werden. Im Übrigen dürfen Arbeiten an elektrischen Installationen und damit auch die Unterbrechung von Anschlüssen grundsätzlich nur durch Personen mit einer Installationsbewilligung ausgeführt werden (Art. 6 NIV; vgl. jedoch die Ausnahmen in Art. 16 NIV).</w:t>
      </w:r>
    </w:p>
    <w:p>
      <w:r>
        <w:rPr>
          <w:b/>
        </w:rPr>
        <w:t>E. 7</w:t>
      </w:r>
    </w:p>
    <w:p>
      <w:r>
        <w:t>Der Beschwerdeführer macht weiter geltend, er habe sich nach der Aufforderung zur Einreichung eines Sicherheitsausweises beim EStI erkundigt, ob er einen solchen ausstellen lassen müsse, obwohl die Liegenschaft sich im Rohbau befinde und folglich unbewohnbar sei. Er habe jedoch nie eine Antwort erhalten. Es ist zu prüfen, ob sich der Beschwerdeführer auf den Schutz des berechtigten Vertrauens stützen kann, indem er aufgrund der Unbewohnbarkeit der Liegenschaft und nachdem er die Vorinstanz darüber informiert hatte, davon ausgehen durfte, ein Sicherheitsnachweis sei nicht geschuldet.</w:t>
      </w:r>
    </w:p>
    <w:p>
      <w:r>
        <w:rPr>
          <w:b/>
        </w:rPr>
        <w:t>E. 7.1</w:t>
      </w:r>
    </w:p>
    <w:p>
      <w:r>
        <w:t>Der Grundsatz von Treu und Glauben gebietet ein loyales und vertrauenswürdiges Verhalten im Rechtsverkehr. Er wirkt sich im Verwaltungsrecht in mehrfacher Hinsicht aus. In der Form des so genannten Vertrauensschutzes verleiht er den Privaten einen Anspruch darauf, in ihrem berechtigten Vertrauen auf behördliche Zusicherungen und sonstiges, bestimmte Erwartungen begründendes Verhalten der Behörden geschützt zu werden (Urteil des Bundesverwaltungsgerichts A 1358/2006 vom 1. Februar 2007, E. 3.1; Beatrice Weber-Dürler, Vertrauensschutz im Öffentlichen Recht, Basel und Frankfurt am Main 1983, S. 14). Voraussetzung, um sich erfolgreich auf den Vertrauensgrundsatz berufen zu können, ist das Vorliegen einer Vertrauensgrundlage, dh. eines Verhaltens eines staatlichen Organs, das bei den Privaten bestimmte Erwartungen auslöst. Es ist möglich, dass die Duldung eines rechtswidrigen Zustandes in Ausnahmefällen eine Vertrauensgrundlage schaffen kann. In diesem Fall ist grundsätzlich jedoch grosse Zurückhaltung insbesondere dann angebracht, wenn es beim Nichtstun der Verwaltung geblieben ist und die (zuständige) Behörde beim Privaten nicht hat die Meinung aufkommen lassen, er handle rechtmässig (vgl. Weber-Dürler, a.a.O., S. 228).</w:t>
      </w:r>
    </w:p>
    <w:p>
      <w:r>
        <w:rPr>
          <w:b/>
        </w:rPr>
        <w:t>E. 7.2</w:t>
      </w:r>
    </w:p>
    <w:p>
      <w:r>
        <w:t>Die Vorinstanz blieb im vorliegenden Fall nicht untätig, sondern erliess verschiedene Verfügungen betreffend die Einreichung eines Sicherheitsnachweises, welche sie aber an die falsche Postadresse zustellte. In dieser Hinsicht ist der Beschwerdeführer auf Art. 11b i.V.m. Art. 13 VwVG hinzuweisen, wonach Parteien, die in einem Verfahren Begehren stellen, der Behörde ihren Wohnsitz oder Sitz anzugeben haben und verpflichtet sind, an der Feststellung des Sachverhaltes mitzuwirken. Auch wenn es der Vorinstanz durchaus zuzumuten gewesen wäre, nach der ersten falschen Zustellung die korrekte Adresse zu ermitteln, durfte der Beschwerdeführer nicht darauf vertrauen, dass ein Sicherheitsnachweis obsolet sei, nur weil auf seine Anfrage via E-Mail keine Antwort eingegangen war. So wusste er nach Erhalt des Schreibens vom 10. Februar 2006 um die Wichtigkeit dieses Nachweises und darum, dass im Unterlassungsfall eine gebührenpflichtige Verfügung erlassen würde. Aufgrund der falschen Adressierung dieses Schreibens musste er ausserdem davon ausgehen, dass die nachfolgende Korrespondenz der Vorinstanz ebenfalls an die falsche Adresse geschickt würde. Ferner hätte der Beschwerdeführer seine Anfrage wiederholen müssen, weil er seine ohnehin nach Fristablauf gestellte Frage via E-Mail gesandt hatte und diesbezüglich auch mit einem Zustellungsfehler hätte rechnen müssen. Zusammenfassend kann festgehalten werden, dass der Beschwerdeführer nicht darauf vertrauen durfte, das Einreichen eines Sicherheitsausweises sei einzig auf Grund seiner E-mail vom 18. Mai 2006 nicht mehr nötig.</w:t>
      </w:r>
    </w:p>
    <w:p>
      <w:r>
        <w:rPr>
          <w:b/>
        </w:rPr>
        <w:t>E. 8</w:t>
      </w:r>
    </w:p>
    <w:p>
      <w:r>
        <w:t>Gestützt auf vorstehende Erwägungen erweist sich die Beschwerde als unbegründet und ist abzuweisen.</w:t>
      </w:r>
    </w:p>
    <w:p>
      <w:r>
        <w:rPr>
          <w:b/>
        </w:rPr>
        <w:t>E. 9</w:t>
      </w:r>
    </w:p>
    <w:p>
      <w:r>
        <w:t>Bei diesem Ausgang des Verfahrens gilt der Beschwerdeführer als unterliegende Partei und hat die Verfahrenskosten von Fr. 500.- zu tragen (Art. 63 Abs. 1 VwVG und Art. 1 ff. des Reglements vom 11. Dezember 2006 über die Kosten und Entschädigungen vor dem Bundesverwaltungsgericht [VGKE, SR 173.320.2]). Diese sind mit dem geleisteten Kostenvorschuss in derselben Höhe zu verrechnen.</w:t>
      </w:r>
    </w:p>
    <w:p>
      <w:r>
        <w:rPr>
          <w:b/>
        </w:rPr>
        <w:t>E. 10</w:t>
      </w:r>
    </w:p>
    <w:p>
      <w:r>
        <w:t>Dem Beschwerdeführer als unterliegende Partei steht keine Parteientschädigung zu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