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A-3519/2019 vom 23. Oktober 2019</w:t>
      </w:r>
    </w:p>
    <w:p>
      <w:r>
        <w:t>Bundesverwaltungsgericht, 2019-10-23, DE</w:t>
      </w:r>
    </w:p>
    <w:p>
      <w:r>
        <w:rPr>
          <w:b/>
        </w:rPr>
        <w:t xml:space="preserve">Quelle: </w:t>
      </w:r>
      <w:r>
        <w:t>https://mcp.opencaselaw.ch/entscheid/bvger_A-3519_2019</w:t>
      </w:r>
    </w:p>
    <w:p>
      <w:r>
        <w:t>FR: TAF A-3519/2019 du 23 octobre 2019</w:t>
      </w:r>
    </w:p>
    <w:p>
      <w:r>
        <w:t>IT: TAF A-3519/2019 del 23 ottobre 2019</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gegeben ist. Eine solche liegt im vorliegenden Fall nicht vor und die Vorinstanz ist eine Behörde im Sinne von Art. 33 VGG, zumal sie öffentlich-rechtliche Aufgaben des Bundes erfüllt (Art. 33 Bst. h VGG i.V.m. Art. 60 Abs. 2bis des Bundesgesetzes über die berufliche Alters-, Hinterlassenen- und Invalidenvorsorge vom 25. Juni 1982 [BVG; SR 831.40]).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Moser/Michael Beusch/Lorenz Kneubühler, Prozessieren vor dem Bundesverwaltungsgericht, 2. Aufl. 2013, Rz. 2.149 ff.; Ulrich Häfelin/Georg Müller/Felix Uhlmann, Allgemeines Verwaltungsrecht, 7. Aufl. 2016, Rz. 1146 ff.).</w:t>
      </w:r>
    </w:p>
    <w:p>
      <w:r>
        <w:rPr>
          <w:b/>
        </w:rPr>
        <w:t>E. 1.4</w:t>
      </w:r>
    </w:p>
    <w:p>
      <w:r>
        <w:t>Im Beschwerdeverfahren vor dem Bundesverwaltungsgericht gilt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A-4271/2016 vom 21. Juni 2017 E. 1.4.2; Moser/Beusch/Kneubühler, a.a.O., Rz. 1.54).</w:t>
      </w:r>
    </w:p>
    <w:p>
      <w:r>
        <w:rPr>
          <w:b/>
        </w:rPr>
        <w:t>E. 2.1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 zum Ganzen: Urteil des BVGer A-4594/2017 vom 13. März 2018 E. 1.7.2).</w:t>
      </w:r>
    </w:p>
    <w:p>
      <w:r>
        <w:rPr>
          <w:b/>
        </w:rPr>
        <w:t>E. 2.2</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Abs. 1 BVG).</w:t>
      </w:r>
    </w:p>
    <w:p>
      <w:r>
        <w:rPr>
          <w:b/>
        </w:rPr>
        <w:t>E. 2.3</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 und beträgt im vorliegend relevanten Jahr 2018 CHF 21'150.- (vgl. Art. 2 Abs. 1, Art. 7 Abs. 1 und Art. 9 BVG i.V.m. Art. 5 BVV 2 in der in dieser Zeitspanne gültig gewesenen Fassung [AS 2014 3343]). Massgebender Jahreslohn ist jener Lohn, den ein Arbeitnehmer bei ganzjähriger Beschäftigung erzielen würde (Art. 2 Abs. 2 BVG; Urteil des BVGer A-3771/2017 vom 21. Februar 2018 E. 2.1.3).</w:t>
      </w:r>
    </w:p>
    <w:p>
      <w:r>
        <w:rPr>
          <w:b/>
        </w:rPr>
        <w:t>E. 2.4</w:t>
      </w:r>
    </w:p>
    <w:p>
      <w:r>
        <w:t>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Urteil des BVGerA-4594/2017 vom 13. März 2018 E. 2.1.4). Allfällige Korrekturen der Lohnbescheinigungen sind nicht im Beschwerde-verfahren vor dem Bundesverwaltungsgericht, sondern direkt bei der zuständigen Ausgleichskasse und allenfalls auf dem für die Anfechtung von Entscheiden dieser Behörde vorgesehenen Rechtsweg geltend zu machen (vgl. etwa Art. 58 Abs. 1 des Bundesgesetzes vom 6. Oktober 2000 über den Allgemeinen Teil des Sozialversicherungsrechts [ATSG; SR 830.1]; zum Ganzen: Urteil des BVGer A-1232/2017 vom 31. Januar 2018 E. 3.2 mit weiteren Hinweisen).</w:t>
      </w:r>
    </w:p>
    <w:p>
      <w:r>
        <w:rPr>
          <w:b/>
        </w:rPr>
        <w:t>E. 2.5</w:t>
      </w:r>
    </w:p>
    <w:p>
      <w:r>
        <w:t>Es obliegt dem Bundesrat, die Versicherungspflicht für Arbeitnehmende in Berufen mit häufig wechselnden oder befristeten Anstellungen zu regeln (Art. 2 Abs. 4 BVG).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Urteil des BVGer A-7265/2016 vom 3. Mai 2017 E. 2.1.3 m.w.H.).</w:t>
      </w:r>
    </w:p>
    <w:p>
      <w:r>
        <w:rPr>
          <w:b/>
        </w:rPr>
        <w:t>E. 2.6.1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rückwirkend (Art. 11 Abs. 3 BVG).</w:t>
      </w:r>
    </w:p>
    <w:p>
      <w:r>
        <w:rPr>
          <w:b/>
        </w:rPr>
        <w:t>E. 2.6.2</w:t>
      </w:r>
    </w:p>
    <w:p>
      <w:r>
        <w:t>Gemäss Art. 11 Abs. 3bis BVG ist die jeweilige Vorsorgeeinrichtung verpflichtet, die Auflösung eines Anschlussvertrages der Auffangeinrichtung zu melden. Diese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Urteil des BVGer A-7265/2016 vom 3. Mai 2017 E. 2.2, mit weiterem Hinweis).</w:t>
      </w:r>
    </w:p>
    <w:p>
      <w:r>
        <w:rPr>
          <w:b/>
        </w:rPr>
        <w:t>E. 2.7</w:t>
      </w:r>
    </w:p>
    <w:p>
      <w:r>
        <w:t>Die Auffangeinrichtung stellt dem säumigen Arbeitgeber den von ihm verursachten Verwaltungsaufwand in Rechnung (Art. 11 Abs. 7 BVG).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Dieses Reglement bildet nach der Praxis der Auffangeinrichtung regelmässig (so auch im vorliegenden Fall) integrierenden Bestandteil der Anschlussverfügung. Voraussetzung für die Rechtmässigkeit dieser Gebührenforderungen ist praxisgemäss, dass die damit abgegoltenen Verwaltungsmassnahmen effektiv und zu Recht erfolgt sind (vgl. dazu Urteil des BVGer A-3771/2017 vom 21. Februar 2018 E. 2.3).</w:t>
      </w:r>
    </w:p>
    <w:p>
      <w:r>
        <w:rPr>
          <w:b/>
        </w:rPr>
        <w:t>E. 3</w:t>
      </w:r>
    </w:p>
    <w:p>
      <w:r>
        <w:t>Im vorliegenden Fall gilt es zu prüfen, ob die Vorinstanz mittels angefochtener Verfügung die Arbeitgeberin zu Recht per 1. Oktober 2018 der Auffangeinrichtung zwangsweise angeschlossen hat (Ziff. I des Dispositivs).</w:t>
      </w:r>
    </w:p>
    <w:p>
      <w:r>
        <w:rPr>
          <w:b/>
        </w:rPr>
        <w:t>E. 3.1</w:t>
      </w:r>
    </w:p>
    <w:p>
      <w:r>
        <w:t>Da unbestritten ist, dass die Beschwerdeführerin ab 1. Oktober 2018 keiner Vorsorgeeinrichtung angeschlossen war, ist der Frage nachzugehen, ob eine Versicherungspflicht bestand.</w:t>
      </w:r>
    </w:p>
    <w:p>
      <w:r>
        <w:rPr>
          <w:b/>
        </w:rPr>
        <w:t>E. 3.1.1</w:t>
      </w:r>
    </w:p>
    <w:p>
      <w:r>
        <w:t>Die Beschwerdeführerin bringt im Wesentlichen vor, dass sie zum Zeitpunkt der Auflösung des bisherigen Anschlussvertrages nur einen Mitarbeiter beschäftigt habe. Die Beschwerdeführerin habe dessen Lohn aufgrund der schlechten Umsatzentwicklung angepasst und nicht den deklarierten Lohn ausbezahlt, so dass der Lohn unter der vorgeschriebenen sozialversicherungsrechtlichen Eintrittsschwelle liegen würde. Des Weiteren sei ein Bezug von Leistungen der Arbeitslosenversicherung für einen geschäftsführenden Inhaber nicht möglich.</w:t>
      </w:r>
    </w:p>
    <w:p>
      <w:r>
        <w:rPr>
          <w:b/>
        </w:rPr>
        <w:t>E. 3.1.2</w:t>
      </w:r>
    </w:p>
    <w:p>
      <w:r>
        <w:t>Die Vorinstanz bringt im Wesentlichen vor, die Beschwerdeführerin habe zwei Mitarbeitende beschäftigt und für einen Arbeitnehmer sei gemäss der Lohnbescheinigung 2018 gegenüber der Ausgleichskasse ein Lohn von CHF 49'800.- deklariert worden. Dieser unterliege für das Jahr 2018 der Versicherungspflicht der beruflichen Vorsorge. Die Vorinstanz sei an die Lohnangaben der Ausgleichskasse gebunden und die Beschwerdeführerin habe bei der Ausgleichskasse keine Korrektur beantragt.</w:t>
      </w:r>
    </w:p>
    <w:p>
      <w:r>
        <w:rPr>
          <w:b/>
        </w:rPr>
        <w:t>E. 3.1.3</w:t>
      </w:r>
    </w:p>
    <w:p>
      <w:r>
        <w:t>Wie vorangehend in Erwägung 2.6.1 dargelegt, muss ein Arbeitgeber eine in das Register für die berufliche Vorsorge eingetragene Vorsorgeeinrichtung errichten oder sich einer solchen anschliessen, sobald er Arbeitnehmende beschäftigt, die obligatorisch zu versichern sind. Demgemäss reicht für eine Anschlusspflicht die Beschäftigung eines einzigen Arbeitnehmers bzw. einer einzigen Arbeitnehmerin, welche(r) die Voraussetzungen für die obligatorische Versicherung erfüllt. Aus der dem Gericht vorliegenden - massgebenden (vgl. E. 2.4) - Lohnbescheinigung 2018 ergibt sich, dass die Beschwerdeführerin für einen Arbeitnehmer einen Lohn in Höhe von CHF 49'800.- deklariert hat. Eine durch die Beschwerdeführerin beantragte Korrektur der Lohnbescheinigung 2018, ist aus den Akten nicht ersichtlich. Damit erweist sich das Vorbringen, die Beschwerdeführerin habe den letztlich ausbezahlten Lohn des Arbeitnehmers aufgrund der schlechten Umsatzentwicklung unter die massgebliche Schwelle der Versicherungspflicht herabgesetzt, als blosse Behauptung. Entsprechend war die Vorinstanz schon aus diesem Grund ohne Weiteres berechtigt, auf die fragliche Lohnbescheinigung der Ausgleichskasse abzustellen. Was die Beschwerdeführerin aus dem Vorbringen, ein Bezug von Leistungen der Arbeitslosenversicherung sei für einen geschäftsführenden Inhaber nicht möglich, mit Bezug auf ihre BVG-Versicherungspflicht für ihren Vorteil abzuleiten versucht, erschliesst sich dem Gericht nicht. Ein Ausnahmetatbestand gemäss Art. 1j BVV 2 wurde nicht geltend gemacht und ist vorliegend auch nicht einschlägig (vgl. E. 2.5).</w:t>
      </w:r>
    </w:p>
    <w:p>
      <w:r>
        <w:rPr>
          <w:b/>
        </w:rPr>
        <w:t>E. 3.2</w:t>
      </w:r>
    </w:p>
    <w:p>
      <w:r>
        <w:t>Nach dem Gesagten steht fest, dass die Beschwerdeführerin im Jahr 2018 mindestens eine Person beschäftigt hat, welche der BVG-Pflicht unterstand. Die Beschwerdeführerin wäre somit verpflichtet gewesen, sich per 1. Oktober 2018 einer registrierten Vorsorgeeinrichtung anzuschliessen bzw. eine solche zu errichten (vgl. E. 2.6.1). Nachdem sie dieser Pflicht nicht nachgekommen war, waren vorliegend die Voraussetzungen für einen rückwirkenden Zwangsanschluss per 1. Oktober 2018 erfüllt (vgl. E. 2.6.2).</w:t>
      </w:r>
    </w:p>
    <w:p>
      <w:r>
        <w:rPr>
          <w:b/>
        </w:rPr>
        <w:t>E. 3.3</w:t>
      </w:r>
    </w:p>
    <w:p>
      <w:r>
        <w:t>Demnach hat die Vorinstanz mit der angefochtenen Verfügung vom 7. Juni 2019 zu Recht die Beschwerdeführerin per 1. Oktober 2018 bei ihr zwangsweise angeschlossen, womit sich auch die der Beschwerdeführerin mit dem Zwangsanschluss auferlegten Kosten als rechtens erweisen (vgl. E. 2.7).</w:t>
      </w:r>
    </w:p>
    <w:p>
      <w:r>
        <w:rPr>
          <w:b/>
        </w:rPr>
        <w:t>E. 3.4</w:t>
      </w:r>
    </w:p>
    <w:p>
      <w:r>
        <w:t>Nach dem Darlegten ist die Beschwerde vollumfänglich abzuweisen.</w:t>
      </w:r>
    </w:p>
    <w:p>
      <w:r>
        <w:rPr>
          <w:b/>
        </w:rPr>
        <w:t>E. 4</w:t>
      </w:r>
    </w:p>
    <w:p>
      <w:r>
        <w:t>Ausgangsgemäss hat die Beschwerdeführerin die Kosten für das Beschwerdeverfahren vor dem Bundesverwaltungsgericht zu tragen (Art. 63 Abs. 1 VwVG). Diese sind auf CHF 800.- festzusetzen (Art. 2 Abs. 1 i.V.m. Art. 4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