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A-348/2019 vom 28. August 2019</w:t>
      </w:r>
    </w:p>
    <w:p>
      <w:r>
        <w:t>Bundesverwaltungsgericht, 2019-08-28, DE</w:t>
      </w:r>
    </w:p>
    <w:p>
      <w:r>
        <w:rPr>
          <w:b/>
        </w:rPr>
        <w:t xml:space="preserve">Quelle: </w:t>
      </w:r>
      <w:r>
        <w:t>https://mcp.opencaselaw.ch/entscheid/bvger_A-348_2019</w:t>
      </w:r>
    </w:p>
    <w:p>
      <w:r>
        <w:t>FR: TAF A-348/2019 du 28 août 2019</w:t>
      </w:r>
    </w:p>
    <w:p>
      <w:r>
        <w:t>IT: TAF A-348/2019 del 28 agosto 2019</w:t>
      </w:r>
    </w:p>
    <w:p>
      <w:pPr>
        <w:pStyle w:val="Heading2"/>
      </w:pPr>
      <w:r>
        <w:t>Regeste</w:t>
      </w:r>
    </w:p>
    <w:p>
      <w:r>
        <w:t>Energie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Beim Einspracheentscheid vom 13. Dezember 2018 handelt es sich um eine solche Verfügung und die Pronovo AG ist eine Vorinstanz nach Art. 33 Bst. h VGG, deren Entscheide gemäss Art. 63 Abs. 1 und 2 i.V.m. Art. 66 Abs. 2 des Energiegesetzes vom 30. September 2016 (EnG, SR 730) beim Bundesverwaltungsgericht anfechtbar sind (Urteil des Bundesverwaltungsgerichts [BVGer] A-5278/2018 vom 29. Januar 2019 E. 1.1). Da keine Ausnahme gemäss Art. 32 VGG vorliegt, ist das Bundesverwaltungsgericht zur Beurteilung der vorliegenden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des angefochtenen Einspracheentscheids sowohl formell als auch materiell beschwert, weshalb er zur Beschwerde legitimiert ist (vgl. Art. 48 Abs. 1 VwVG).</w:t>
      </w:r>
    </w:p>
    <w:p>
      <w:r>
        <w:rPr>
          <w:b/>
        </w:rPr>
        <w:t>E. 1.3</w:t>
      </w:r>
    </w:p>
    <w:p>
      <w:r>
        <w:t>Auf die im Übrigen frist- und formgerecht eingereichte Beschwerde (Art. 50 und Art. 52 VwVG)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Massgebend für die Feststellung des Sachverhalts ist der Zeitpunkt des Beschwerdeentscheids. Im Beschwerdeverfahren können daher im Rahmen des Streitgegenstandes neu auftauchende Tatsachen geltend gemacht und neue Beweismittel eingebracht werden (sog. echte Noven). Eingebracht werden können aber auch noch Tatsachen und Beweismittel, welche bereits im erstinstanzlichen Verfahren hätten vorgebracht werden können, deren Geltendmachung aber aus Nachlässigkeit oder absichtlich unterblieben ist (sog. unechte Noven; Benjamin Schindler, in: Kommentar zum Bundesgesetz über das Verwaltungsverfahren [VwVG], 2019 [nachfolgend: VwVG Kommentar], Rz. 31 zu Art. 49 VwVG, m.w.H.).</w:t>
      </w:r>
    </w:p>
    <w:p>
      <w:r>
        <w:rPr>
          <w:b/>
        </w:rPr>
        <w:t>E. 3</w:t>
      </w:r>
    </w:p>
    <w:p>
      <w:r>
        <w:t>Vor der Vorinstanz war umstritten, ob die Photovoltaikanlage des Beschwerdeführers als «angebaut» oder «integriert» zu kategorisieren ist. Im vorliegenden Beschwerdeverfahren stellt sich die Vorinstanz nun auf den Standpunkt, dass die Anlage gestützt auf die neu eingereichten Fotos voraussichtlich als «integriert» zu qualifizieren sei, weshalb die Sache an sie zurückzuweisen oder die Beschwerde eventualiter gutzuheissen sei. Anträge der Verwaltung auf Gutheissung der Beschwerde befreien das Bundesverwaltungsgericht indes nicht von seiner Prüfungs- und Begründungspflicht. Vielmehr hat es die tatsächlichen und rechtlichen Anspruchsvoraussetzungen einer Leistung selbst zu prüfen und das entsprechende Ergebnis zumindest summarisch festzuhalten (Urteil des Bundesgerichts [BGer] 9C_683/2009 vom 16. September 2009 E. 2.2.3; Moser/Beusch/Kneubühler, Prozessieren vor dem Bundesverwaltungsgericht, 2. Aufl. 2013, Rz. 3.211).</w:t>
      </w:r>
    </w:p>
    <w:p>
      <w:r>
        <w:rPr>
          <w:b/>
        </w:rPr>
        <w:t>E. 3.1</w:t>
      </w:r>
    </w:p>
    <w:p>
      <w:r>
        <w:t>Gemäss Art. 72 Abs. 3 EnG gilt für Betreiber und Projektanten, die bis zum Inkrafttreten des EnG keinen positiven Bescheid erhalten haben, insbesondere für diejenigen, denen mitgeteilt wurde, ihre Anlage sei auf der Warteliste (Wartelistenbescheid), das neue Recht, auch wenn ihre Anlage beim Inkrafttreten des EnG schon in Betrieb ist. Der Beschwerdeführer erhielt den Wartelistenbescheid im Jahre 2011 und seine Anlage nahm er im Jahr 2013 in Betrieb. Das EnG ist am 1. Januar 2018 in Kraft getreten (Art. 77 EnG). Den positiven Bescheid erhielt der Beschwerdeführer mit Verfügung vom 27. August 2018. Auf den vorliegenden Fall findet daher das geltende neue EnG Anwendung (vgl. dazu auch Urteil BVGer A-7036/2018 vom 26. August 2019).</w:t>
      </w:r>
    </w:p>
    <w:p>
      <w:r>
        <w:rPr>
          <w:b/>
        </w:rPr>
        <w:t>E. 3.2</w:t>
      </w:r>
    </w:p>
    <w:p>
      <w:r>
        <w:t>Am Einspeisevergütungssystem können die Betreiber von Neuanlagen teilnehmen, die sich für den entsprechenden Standort eignen und Elektrizität aus Wasserkraft, Sonnenenergie, Windenergie, Geothermie sowie Biomasse erzeugen (vgl. Art. 19 Abs. 1 Bst. a - e EnG). Nicht am Einspeisevergütungssystem teilnehmen können unter anderem die Betreiber von kleinen Photovoltaikanlagen. Als kleine Photovoltaikanlagen gelten Anlagen, welche eine Leistung von weniger als 100 kW aufweisen (vgl. Art. 19 Abs. 4 Bst. b i.V.m. Art. 19 Abs. 6 EnG sowie Art. 7 Abs. 1 i.V.m. Art. 13 der Verordnung über die Förderung der Produktion von Elektrizität aus erneuerbaren Energien vom 1. November 2017 [EnFV; SR 730.03]). Sofern die Mittel reichen, können diese jedoch einen Investitionsbeitrag in der Form einer einmaligen Zahlung (Einmalvergütung) in Anspruch nehmen (vgl. Art. 24 Abs. 1 Bst. a i.V.m. Art. 24 Abs. 4 EnG). Die Höhe der Einmalvergütung ist abhängig von der Qualifikation der Photovoltaikanlage (vgl. Anhang 2.1 Ziff. 2.1 ff. EnFV). Diesbezüglich wird zwischen integrierten (Art. 6 Abs. 1 Bst. a EnFV) und angebauten oder freistehenden Anlagen (Art. 6 Abs. 1 Bst. b EnFV) unterschieden. Integrierte Anlagen sind Anlagen, die in ein Gebäude integriert sind und neben der Elektrizitätsproduktion zusätzlich dem Wetterschutz, dem Wärmeschutz oder der Absturzsicherung dienen (Art. 6 Abs. 2 EnFV). Wie unter der Geltung der Energieverordnung vom 7. Dezember 1998 (aEnV; in Kraft gewesen bis zum 31. Dezember 2017) muss somit eine Photovoltaikanlage kumulativ zwei Erfordernisse erfüllen, um als integriert zu gelten: Zum einen muss die Anlage effektiv baulich integriert und nicht nur (wie die angebauten Anlagen) konstruktiv mit der Baute verbunden sein. Baulich integriert ist eine Photovoltaikanlage, wenn dasjenige Element der Baute, das durch die Anlage ersetzt wird (z.B. das Dach), entfernt wurde. Zum anderen muss die Anlage eine Doppelfunktion ausüben, d.h. nebst der Primärfunktion der Energiegewinnung noch eine zweite Aufgabe (Wetterschutz, Wärmeschutz oder Absturzsicherung) erfüllen (vgl. Urteil BGer 2C_180/2017 vom 10. Januar 2018 E. 2; Urteile BVGer A-4730/2014 vom 17. September 2015 E. 4.1 und A-2895/2014 vom 17. Dezember 2014 E. 5).</w:t>
      </w:r>
    </w:p>
    <w:p>
      <w:r>
        <w:rPr>
          <w:b/>
        </w:rPr>
        <w:t>E. 3.3</w:t>
      </w:r>
    </w:p>
    <w:p>
      <w:r>
        <w:t>Den Akten lässt sich Folgendes entnehmen: Das Gebäude, auf welchem sich die Photovoltaikanlage befindet, ist eine Lagerhalle mit einem Giebeldach. Die eine (freie) Dachfläche ist nur mit gewellten Dachblechen bedeckt. Bei der anderen wurden diese entfernt und stattdessen - wie es der Lieferantenrechnung entnommen werden kann - eine Indachphotovoltaikanlage montiert. Dazu wurden als Dachschalung 3-Schichtplatten samt Schalungsbahne angebracht, worauf dann die Unterkonstruktion sowie die Solarmodule montiert wurden. Zudem wurde die Anlage mit einer Traufverkleidung inkl. Zulauf versehen. Die Photovoltaikanlage ersetzt somit die ursprünglichen Dachbleche und übernimmt gleichzeitig deren Funktion als Wetterschutz, indem sie das Regenwasser auffängt und ableitet. Wie die Vorinstanz in ihrer Duplik vom 16. April 2019 richtig vorbringt, ist die Photovoltaikanlage im Ergebnis daher als «integriert» im Sinne von Art. 6 Abs. 1 Bst. a EnFV zu qualifizieren.</w:t>
      </w:r>
    </w:p>
    <w:p>
      <w:r>
        <w:rPr>
          <w:b/>
        </w:rPr>
        <w:t>E. 3.4</w:t>
      </w:r>
    </w:p>
    <w:p>
      <w:r>
        <w:t>Zusammengefasst basiert die von der Vorinstanz in ihrem Einspracheentscheid vom 13. Dezember 2018 festgelegte Einmalvergütung auf einer falschen Einstufung der Photovoltaikanlage. Weitere Abklärungen sind nicht zu treffen, weshalb von der beantragten Rückweisung der Sache an die Vorinstanz abzusehen ist. Vielmehr ist die Beschwerde gutzuheissen und die angefochtene Verfügung aufzuheben.</w:t>
      </w:r>
    </w:p>
    <w:p>
      <w:r>
        <w:rPr>
          <w:b/>
        </w:rPr>
        <w:t>E. 4</w:t>
      </w:r>
    </w:p>
    <w:p>
      <w:r>
        <w:t>Es bleibt über die Kosten und Entschädigungen des Beschwerdeverfahrens zu befinden.</w:t>
      </w:r>
    </w:p>
    <w:p>
      <w:r>
        <w:rPr>
          <w:b/>
        </w:rPr>
        <w:t>E. 4.1</w:t>
      </w:r>
    </w:p>
    <w:p>
      <w:r>
        <w:t>Die Vorinstanz ist der Ansicht, die Verfahrenskosten seien trotz Obsiegen dem Beschwerdeführer aufzuerlegen, da er seine Mitwirkungspflichten verletzt habe.</w:t>
      </w:r>
    </w:p>
    <w:p>
      <w:r>
        <w:rPr>
          <w:b/>
        </w:rPr>
        <w:t>E. 4.1.1</w:t>
      </w:r>
    </w:p>
    <w:p>
      <w:r>
        <w:t>Die Beschwerdeinstanz auferlegt die Verfahrenskosten in der Regel der unterliegenden Partei (vgl. Art. 63 Abs. 1 VwVG), sofern es sich dabei nicht um Vorinstanzen oder beschwerdeführende und unterliegende Bundesbehörden handelt (vgl. Art. 63 Abs. 2 VwVG). Einer obsiegenden Partei dürfen nur Verfahrenskosten auferlegt werden, die sie durch Verletzung von Verfahrenspflichten verursacht hat (Art. 63 Abs. 3 VwVG). Dies ist typischerweise der Fall, wenn ein Beschwerdeführer das Beschwerdeverfahren und/oder das vorinstanzliche Verfahren durch Verletzung von Mitwirkungspflichten (Art. 13 VwVG) unnötigerweise verursacht und in die Länge gezogen hat, etwa durch verspätetes Vorbringen relevanter Beweismittel, die zu einer Gutheissung der Beschwerde führen (Michael Beusch, in: VwVG Kommentar, Rz. 20 zu Art. 63 VwVG; Urteile BVGer A-6822/2016 vom 6. Juli 2017 E. 6.1 und A-8396/2015 vom 5. Juli 2016 E. 8.1). So sind Parteien dazu verpflichtet, in einem Verfahren, das sie durch ihr Begehren einleiten, an der Feststellung des Sachverhalts mitzuwirken (Art. 13 Abs. 1 Bst. a VwVG). Art. 13 VwVG ergänzt und relativiert dabei die in Art. 12 VwVG verankerte Untersuchungsmaxime, wonach die Behörde den Sachverhalt von Amtes wegen festzustellen hat. Letztere verpflichtet die zuständige Behörde, alle zumutbaren und rechtlich zulässigen Mittel der Sachverhaltsaufklärung einzusetzen. Dabei hat sie sich an der Entscheiderheblichkeit einer Tatsache, an verfahrensökonomischen Überlegungen sowie am Verhältnismässigkeitsgrundsatz zu orientieren. Sie trägt die Verantwortung für die Feststellung der materiellen Wahrheit, was insbesondere dazu führt, dass sie nicht nur für die Parteien belastende, sondern auch begünstigende Tatsachen zu ermitteln hat (Auer/Binder, in: VwVG Kommentar, Rz. 5 zu Art. 12 VwVG sowie Rz. 1 zu Art. 13 VwVG, m.w.H.). Ist eine Partei zur Mitwirkung verpflichtet, so trifft die Behörde eine Aufklärungspflicht, d.h. sie muss die Verfahrensbeteiligten geeignet auf die zu beweisenden Tatsachen hinweisen (Urteile BGer 2C_165/2018 vom 19. September 2018 E. 2.2.2 und 2C_388/2008 vom 16. Dezember 2008 E. 4.1).</w:t>
      </w:r>
    </w:p>
    <w:p>
      <w:r>
        <w:rPr>
          <w:b/>
        </w:rPr>
        <w:t>E. 4.1.2</w:t>
      </w:r>
    </w:p>
    <w:p>
      <w:r>
        <w:t>Das vorinstanzliche Verfahren wurde auf Gesuch des Beschwerdeführers hin eingeleitet, weshalb ihn sicherlich eine Mitwirkungspflicht traf (vgl. oben E. 4.1.1). Diese Pflicht umfasste auch das Einreichen von Fotos, die den Solarstromgenerator während des Baus und nach der Fertigstellung zeigen und aus denen ersichtlich wird, dass eine integrierte Anlage nach Art. 6 EnFV vorliegt (vgl. Anhang 2.1 Ziff. 3 Bst. k EnFV). Nachdem die ursprünglich eingereichten Fotos für eine Kategorisierung der Anlage offenbar nicht genügten, forderte die Vorinstanz den Beschwerdeführer mit Schreiben vom 26. März 2018 auf, weitere Fotos einzureichen, wobei darauf insbesondere die Gesamtfläche, die Randabschlüsse der Solaranlage sowie die Bauphase oder die Unterkonstruktion deutlich zu sehen sein sollten. Die daraufhin vom Beschwerdeführer eingereichten Fotos zeigen die Gesamtfläche sowie die Randabschlüsse der Anlage. Zudem reichte er ein Foto ein, welches innerhalb der Lagerhalle aufgenommen wurde und das Dach von unten zeigt. Es liegt der Schluss nahe, dass der Beschwerdeführer damit - mangels Fotos der Bauphase - ein Bild der verlangten Unterkonstruktion aufnehmen wollte. Die darauf zu sehenden Schichtplatten bildeten denn auch einen Teil der Unterkonstruktion der Anlage ab (vgl. oben E. 3.3). Es kann daher nicht auf eine mangelhaft wahrgenommene Mitwirkungspflicht geschlossen werden, zumal der Beschwerdeführer anschliessend in seiner Einsprache auch nachfragte, ob die Vorinstanz noch weitere Unterlagen für die Kategorisierung benötige. Stattdessen wäre es der Vor-instanz zuzumuten gewesen, den sich offenkundig im Unwissen befindenden Beschwerdeführer selber darauf hinzuweisen, dass sie zusätzlich noch ein Foto nach Herausnehmen eines Solarmoduls oder Fotos der Innenansicht vom Dach benötigen würde, um den Rest der Unterkonstruktion beurteilen zu können. Ein solch kurzer schriftlicher Hinweis wäre prozessökonomisch unbedenklich, verhältnismässig sowie von der Entscheid-erheblichkeit her auch angezeigt gewesen (vgl. oben E. 4.1.1).</w:t>
      </w:r>
    </w:p>
    <w:p>
      <w:r>
        <w:rPr>
          <w:b/>
        </w:rPr>
        <w:t>E. 4.1.3</w:t>
      </w:r>
    </w:p>
    <w:p>
      <w:r>
        <w:t>Weiter wäre bei einer eingehenderen Betrachtung der Fotos unter Einbezug der Lieferantenrechnung eine Kategorisierung der Anlage bereits im vorinstanzlichen Verfahren möglich gewesen. Das bereits erwähnte Foto zeigt die Unteransicht beider Dachflächen. Dabei liegen auf der freien Dachseite die Dachbleche direkt auf den Sparren (Träger, die von der Traufe zum First verlaufen und die Dachhaut tragen) auf, weshalb es sich bei den Holzplatten auf den Sparren der anderen Dachseite nur um die in der Lieferantenrechnung erwähnten 3-Schichtplatten handeln konnte, welche die Basis der Photovoltaikanlage bilden. Die weitere Konstruktion lässt sich sodann aus den übrigen Elementen der Lieferantenrechnung nachvollziehen. Die im Beschwerdeverfahren eingereichten Fotos waren deshalb für die schlussendliche Kategorisierung nicht allein ausschlaggebend (vgl. oben E. 4.1.1). Aus diesem Grund fällt eine Verletzung der Mitwirkungspflicht des Beschwerdeführers ebenfalls ausser Betracht.</w:t>
      </w:r>
    </w:p>
    <w:p>
      <w:r>
        <w:rPr>
          <w:b/>
        </w:rPr>
        <w:t>E. 4.1.4</w:t>
      </w:r>
    </w:p>
    <w:p>
      <w:r>
        <w:t>Zusammengefasst besteht kein Anlass, dem obsiegenden Beschwerdeführer die Verfahrenskosten aufzuerlegen. Da diese auch der Vorinstanz nicht auferlegt werden können, sind keine Verfahrenskosten zu erheben (vgl. oben E. 4.1.1) und der vom Beschwerdeführer erhobene Kostenvorschuss ist ihm nach Eintritt der Rechtskraft dieses Urteils zurückzuerstatten.</w:t>
      </w:r>
    </w:p>
    <w:p>
      <w:r>
        <w:rPr>
          <w:b/>
        </w:rPr>
        <w:t>E. 4.2</w:t>
      </w:r>
    </w:p>
    <w:p>
      <w:r>
        <w:t>Das Bundesverwaltungsgericht kann der ganz oder teilweise obsiegenden Partei von Amtes wegen oder auf Begehren eine Entschädigung für ihr erwachsene notwendige und verhältnismässig hohe Kosten zusprechen (Art. 64 Abs. 1 i.V.m. Art. 47 Abs. 1 Bst. b VwVG). Parteien, welche nicht vertreten sind, werden nur die notwendigen Auslagen gemäss Art. 13 des Reglements über die Kosten und Entschädigungen vor dem Bundesverwaltungsgericht (VGKE, SR 173.320.2) ersetzt (Moser/Beusch/Kneubühler, a.a.O., Rz. 4.64 Fn. 179). Diese umfassen Spesen für Reisekosten, Verpflegungskosten, Übernachtungskosten sowie Kosten für Kopien, sofern sie Fr. 100.-- übersteigen (Art. 13 Bst. a i.V.m. Art. 11 Abs. 1 - 4 VGKE) und einen allfälligen Verdienstausfall (Art. 13 Bst. b VGKE). Derartige Kosten werden vom Beschwerdeführer nicht geltend gemacht und es ist auch nicht ersichtlich, inwiefern solche angefallen sein sollten. Eine Parteientschädigung ist ihm deshalb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