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A-3452/2011 vom 23. August 2011</w:t>
      </w:r>
    </w:p>
    <w:p>
      <w:r>
        <w:t>Bundesverwaltungsgericht, 2011-08-23, DE</w:t>
      </w:r>
    </w:p>
    <w:p>
      <w:r>
        <w:rPr>
          <w:b/>
        </w:rPr>
        <w:t xml:space="preserve">Quelle: </w:t>
      </w:r>
      <w:r>
        <w:t>https://mcp.opencaselaw.ch/entscheid/bvger_A-3452_2011</w:t>
      </w:r>
    </w:p>
    <w:p>
      <w:r>
        <w:t>FR: TAF A-3452/2011 du 23 août 2011</w:t>
      </w:r>
    </w:p>
    <w:p>
      <w:r>
        <w:t>IT: TAF A-3452/2011 del 23 agosto 2011</w:t>
      </w:r>
    </w:p>
    <w:p>
      <w:pPr>
        <w:pStyle w:val="Heading2"/>
      </w:pPr>
      <w:r>
        <w:t>Regeste</w:t>
      </w:r>
    </w:p>
    <w:p>
      <w:r>
        <w:t>Auflösung des Arbeitsverhältnisses</w:t>
      </w:r>
    </w:p>
    <w:p>
      <w:pPr>
        <w:pStyle w:val="Heading2"/>
      </w:pPr>
      <w:r>
        <w:t>Erwägungen</w:t>
      </w:r>
    </w:p>
    <w:p>
      <w:r>
        <w:rPr>
          <w:b/>
        </w:rPr>
        <w:t>E. 1</w:t>
      </w:r>
    </w:p>
    <w:p>
      <w:r>
        <w:t>Es werden keine Verfahrenskosten erhoben.</w:t>
      </w:r>
    </w:p>
    <w:p>
      <w:r>
        <w:rPr>
          <w:b/>
        </w:rPr>
        <w:t>E. 2</w:t>
      </w:r>
    </w:p>
    <w:p>
      <w:r>
        <w:t>Dem Beschwerdeführer wird eine durch die Beschwerdegegnerin nach Eintritt der Rechtskraft des vorliegenden Urteils auszurichtende Parteientschädigung von Fr. 10'850.- zugesprochen.</w:t>
      </w:r>
    </w:p>
    <w:p>
      <w:r>
        <w:rPr>
          <w:b/>
        </w:rPr>
        <w:t>E. 3</w:t>
      </w:r>
    </w:p>
    <w:p>
      <w:r>
        <w:t>Die Angelegenheit wird zur Festsetzung der Parteientschädigung im vorinstanzlichen Verfahren an die Vorinstanz zurückgewiesen.</w:t>
      </w:r>
    </w:p>
    <w:p>
      <w:r>
        <w:rPr>
          <w:b/>
        </w:rPr>
        <w:t>E. 4</w:t>
      </w:r>
    </w:p>
    <w:p>
      <w:r>
        <w:t>Dieses Urteil geht an: - den Beschwerdeführer (Gerichtsurkunde) - die Beschwerdegegnerin (Gerichtsurkunde) - die Vorinstanz (Gerichtsurkunde) Für die Rechtsmittelbelehrung wird auf die nächste Seite verwiesen. Der vorsitzende Richter: Der Gerichtsschreiber: Markus Metz Lars Birgelen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des Bundesgerichtsgesetzes vom 17. Juni 2005 [BGG, SR 173.110]).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