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A-3440/2021 vom 9. März 2022</w:t>
      </w:r>
    </w:p>
    <w:p>
      <w:r>
        <w:t>Bundesverwaltungsgericht, 2022-03-09, DE</w:t>
      </w:r>
    </w:p>
    <w:p>
      <w:r>
        <w:rPr>
          <w:b/>
        </w:rPr>
        <w:t xml:space="preserve">Quelle: </w:t>
      </w:r>
      <w:r>
        <w:t>https://mcp.opencaselaw.ch/entscheid/bvger_A-3440_2021</w:t>
      </w:r>
    </w:p>
    <w:p>
      <w:r>
        <w:t>FR: TAF A-3440/2021 du 9 mars 2022</w:t>
      </w:r>
    </w:p>
    <w:p>
      <w:r>
        <w:t>IT: TAF A-3440/2021 del 9 marzo 2022</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 unter Vorbehalt des in E. 1.3 Ausgeführten - einzutreten.</w:t>
      </w:r>
    </w:p>
    <w:p>
      <w:r>
        <w:rPr>
          <w:b/>
        </w:rPr>
        <w:t>E. 1.2</w:t>
      </w:r>
    </w:p>
    <w:p>
      <w:r>
        <w:t>Die Beschwerdeführerin beantragt nicht die vollständige Aufhebung des Einspracheentscheids vom 25. Juni 2021, der die Jahre 2012 und 2013 umfasst, sondern nur die Aufhebung der Dispositivziffern 1, 2 und 4 des genannten Einspracheentscheids, welche das Jahr 2012 (Verrechnungssteuer und Zinsfolgen) betreffen. Eine solche Beschränkung des Streitgegenstandes ist ohne Weiteres zulässig.</w:t>
      </w:r>
    </w:p>
    <w:p>
      <w:r>
        <w:rPr>
          <w:b/>
        </w:rPr>
        <w:t>E. 1.3.1</w:t>
      </w:r>
    </w:p>
    <w:p>
      <w:r>
        <w:t>Gemäss Art. 25 Abs. 2 VwVG ist dem Begehren um Erlass einer Feststellungsverfügung zu entsprechen, wenn die Gesuchstellerin ein entsprechendes schutzwürdiges Interesse nachweist. Der Anspruch auf Erlass einer Feststellungsverfügung ist dabei subsidiär gegenüber rechtsgestaltenden Verfügungen (BGE 142 V 2 E. 1.1, 137 II 199 E. 6.5, 126 II 300 E. 2c; BVGE 2015/35 E. 2.2.2, 2010/12 E. 2.3, 2007/24 E. 1.3; Urteil des BVGer A-5065/2018 vom 17. März 2021 E. 1.3.2).</w:t>
      </w:r>
    </w:p>
    <w:p>
      <w:r>
        <w:rPr>
          <w:b/>
        </w:rPr>
        <w:t>E. 1.3.2</w:t>
      </w:r>
    </w:p>
    <w:p>
      <w:r>
        <w:t>Die Beschwerdeführerin hat ihre Anträge teilweise als Feststellungsbegehren formuliert. Diese sind jedoch inhaltlich bereits von den negativen Leistungsbegehren, nämlich den Anträgen auf teilweise Aufhebung des angefochtenen Einspracheentscheids und teilweisen Aufhebung der Verrechnungssteuerforderung sowie Nichtüberwälzung derselben auf C._______, umfasst und es kommt ihnen insofern keine eigenständige Bedeutung zu. Mangels Feststellungsinteresses ist auf die Feststellungsbegehren nicht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8. Aufl. 2020, N. 988, 990 und 998; André Moser/Michael Beusch/Lorenz Kneubühler, Prozessieren vor dem Bundesverwaltungsgericht, 2. Aufl. 2013, Rz. 1.52 und 1.54; Pierre Moor/Etienne Poltier, Droit administratif, Bd. II, 3. Aufl. 2011, S. 292 ff., 300 f., 820 f., Ziff. 2.2.6.3, 2.2.6.5 und 5.8.3.5).</w:t>
      </w:r>
    </w:p>
    <w:p>
      <w:r>
        <w:rPr>
          <w:b/>
        </w:rPr>
        <w:t>E. 1.6.1</w:t>
      </w:r>
    </w:p>
    <w:p>
      <w:r>
        <w:t>Art. 29 Abs. 2 der Bundesverfassung der Schweizerischen Eidgenossenschaft vom 18. April 1999 (BV, SR 101; s.a. Art. 29 VwVG) garantiert jeder Verfahrenspartei den Anspruch auf rechtliches Gehör. Dazu gehört insbesondere, dass die Behörde die Vorbringen der Verfahrensbeteiligten tatsächlich hört, prüft und in ihrer Entscheidfindung berücksichtigt.</w:t>
      </w:r>
    </w:p>
    <w:p>
      <w:r>
        <w:rPr>
          <w:b/>
        </w:rPr>
        <w:t>E. 1.6.2</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A-6416/2019 vom 20. Januar 2022 E. 4.2, A-1761/2021 vom 2. Dezember 2021 E. 1.5.2.4, A-1336/2020 vom 12. Oktober 2021 E. 2.2; vgl. Patrick Sutter, in: Auer/Müller/Schindler [Hrsg.], VwVG Kommentar, 2. Aufl. 2019, Art. 29 N. 19).</w:t>
      </w:r>
    </w:p>
    <w:p>
      <w:r>
        <w:rPr>
          <w:b/>
        </w:rPr>
        <w:t>E. 2.1</w:t>
      </w:r>
    </w:p>
    <w:p>
      <w:r>
        <w:t>Der Bund erhebt eine Verrechnungssteuer unter anderem auf dem Ertrag beweglichen Kapitalvermögens (Art. 132 Abs. 2 BV, Art. 1 Abs. 1 des Bundesgesetzes vom 13. Oktober 1965 über die Verrechnungssteuer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wozu der Steuerpflichtige unter Strafandrohung (Art. 63 VStG) öffentlich-rechtlich verpflichtet ist (Art. 14 Abs. 1 VStG; BGE 136 II 525 E. 3.3.1, 131 III 546 E. 2.1; vgl. Markus REICH/Maja BAUER-BALMELLI, in: Kommentar VStG, Art. 14 N. 9). Schliesslich wird die Verrechnungssteuer dem Empfänger der um die Steuer gekürzten Leistung nach Massgabe des Verrechnungssteuergesetzes oder im internationalen Verhältnis aufgrund eines Staatsvertrages (teilweise) zurückerstattet (Art. 1 Abs. 2 VStG; Urteile des BVGer A-1623/2018 vom 16. Mai 2019 E. 3.2, A-5361/2013 vom 17. Dezember 2015 E. 3.2; vgl. Maja BAUER-BALMELLI/Markus REICH, in: Kommentar VStG, Vorbemerkungen N. 48 f.; Maja Bauer-Balmelli, Der Sicherungszweck der Verrechnungssteuer, 2001, S. 3). Diese Aufteilung in die Phase der Steuererhebung (Art. 1 Abs. 1 VStG) und diejenige der Steuerrückerstattung (Art. 1 Abs. 2 i.V.m. Art. 30 VStG) ist wesentlich für die Funktion der Verrechnungssteuer (Urteile des BVGer A-1623/2018 vom 16. Mai 2019 E. 3.2, A-3066/2017 vom 3. Mai 2018 E. 3.1, A-5361/2013 vom 17. Dezember 2015 E. 3.2; vgl. BAUER-BALMELLI, a.a.O., S. 46 ff.).</w:t>
      </w:r>
    </w:p>
    <w:p>
      <w:r>
        <w:rPr>
          <w:b/>
        </w:rPr>
        <w:t>E. 2.3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Urteile des BVGer A-1623/2018 vom 16. Mai 2019 E. 3.3, A-3822/2016 vom 19. Dezember 2017 E. 4.1.1, A-1427/2016 vom 9. August 2017 E. 2.2.2.2).</w:t>
      </w:r>
    </w:p>
    <w:p>
      <w:r>
        <w:rPr>
          <w:b/>
        </w:rPr>
        <w:t>E. 2.4.1</w:t>
      </w:r>
    </w:p>
    <w:p>
      <w:r>
        <w:t>Der Begriff der geldwerten Leistung im Sinne von Art. 20 VStV entspricht grundsätzlichen jenem der geldwerten Vorteile von Art. 20 Abs. 1 Bst. c des Bundesgesetzes vom 14. Dezember 1990 über die direkte Bundessteuer (DBG, SR 642.11; BGE 143 IV 228 E. 4.1; Urteil des BGer 2C_123/2016 vom 21. November 2017 E. 3.3; Urteile des BVGer A-1623/2018 vom 16. Mai 2019 E. 3.4.1, A-3822/2016 vom 19. Dezember 2017 E. 4.1.1, A-1427/2016 vom 9. August 2017 E. 2.2.1 und 2.2.2.2).</w:t>
      </w:r>
    </w:p>
    <w:p>
      <w:r>
        <w:rPr>
          <w:b/>
        </w:rPr>
        <w:t>E. 2.4.2</w:t>
      </w:r>
    </w:p>
    <w:p>
      <w:r>
        <w:t>Zu den geldwerten Leistungen in diesem Sinne zählen auch verdeckte Gewinnausschüttungen (vgl. auch Art. 58 Abs. 1 Bst. b DBG; vgl. Peter Locher, Kommentar zum DBG, I. Teil, 2. Aufl. 2019, Art. 20 Rz. 84). Im Einzelnen setzt die Annahme einer geldwerten Leistung in Form einer verdeckten Gewinnausschüttung gemäss ständiger Rechtsprechung voraus, dass die folgenden Voraussetzungen (kumulativ) erfüllt sind (Urteile des BVGer A-479/2021 vom 8. September 2021 E. 2.1.3.3, A-1623/2018 vom 16. Mai 2019 E. 2.4.2, A-4091/2016 vom 24. Januar 2018 E. 2.3.2 m.Hw.):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(BGE 140 II 88 E. 4.1; Urteil der BGer 2C_578/2019 vom 31. März 2020 E. 3.3 i.V.m. 3.2; vgl. BGE 144 II 427 E. 6.1).</w:t>
      </w:r>
    </w:p>
    <w:p>
      <w:r>
        <w:rPr>
          <w:b/>
        </w:rPr>
        <w:t>E. 2.4.3</w:t>
      </w:r>
    </w:p>
    <w:p>
      <w:r>
        <w:t>Die Prüfung dieser Kriterien erfolgt einzig aus Sicht der leistenden Gesellschaft und nicht aus jener des Leistungsempfängers (Urteile des BVGer A-1623/2018 vom 16. Mai 2019 E. 3.4.3, A-1427/2016 vom 9. August 2017 E. 2.2.3, A-2637/2016 vom 7. April 2017 E. 2.3).</w:t>
      </w:r>
    </w:p>
    <w:p>
      <w:r>
        <w:rPr>
          <w:b/>
        </w:rPr>
        <w:t>E. 2.4.4</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 Urteil des BVGer A-1623/2018 vom 16. Mai 2019 E. 3.4.4; in Bezug auf Darlehen: Peter Brülisauer/Marco Mühlemann, in: Zweifel/Beusch [Hrsg.], Kommentar zum schweizerischen Steuerrecht, Bundesgesetz über die direkte Bundessteuer, 3. Aufl. 2017 [nachfolgend: Kommentar DBG], Art. 58 N. 310).</w:t>
      </w:r>
    </w:p>
    <w:p>
      <w:r>
        <w:rPr>
          <w:b/>
        </w:rPr>
        <w:t>E. 2.5</w:t>
      </w:r>
    </w:p>
    <w:p>
      <w:r>
        <w:t>Ein Element der steuerlichen Erfassung einer verdeckten Gewinnausschüttung ist die Bestimmung der Angemessenheit von Leistung und Gegenleistung (vgl. E. 2.4.2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(auch Prinzip des «dealing at arm's length»). Verlangt wird, dass Rechtsgeschäfte mit Beteiligungsinhabern zu den gleichen Bedingungen abzuwickeln sind, wie sie mit aussenstehenden Dritten zu Wettbewerbs- und Marktbedingungen vereinbart werden würden (BGE 140 II 88 E. 4.1, 138 II 545 E. 3.2; Urteile des BVGer A-1623/2018 vom 16. Mai 2019 E. 3.5.1, A-1200/2018 vom 13. Februar 2019 E. 2.3.1 m.Hw.).</w:t>
      </w:r>
    </w:p>
    <w:p>
      <w:r>
        <w:rPr>
          <w:b/>
        </w:rPr>
        <w:t>E. 2.6</w:t>
      </w:r>
    </w:p>
    <w:p>
      <w:r>
        <w:t>Nahestehende Personen (vgl. E. 2.4.2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2.4.2 Voraussetzung (3); Urteile des BVGer A-1623/2018 vom 16. Mai 2019 E. 3.6, A-4091/2016 vom 24. Januar 2018 E. 2.5 m.Hw.). Eine der Verrechnungssteuer unterliegende geldwerte Leistung kann auch dann vorliegen, wenn sich die Annahme, die Leistung sei den Aktionären oder diesen nahestehenden Personen zugekommen, zwingend aufdrängt und eine andere Erklärung für die Vorgänge nicht zu finden ist (BGE 119 Ib 431 E. 3b; Urteil des BGer 2C_377/2009 vom 9. September 2009 E. 3.4; vgl. Urteile des BGer 2C_777/2019 vom 28. April 2020 E. 5.2, 2C_177/2016 und 2C_178/2016 vom 30. Januar 2017 E. 4.3).</w:t>
      </w:r>
    </w:p>
    <w:p>
      <w:r>
        <w:rPr>
          <w:b/>
        </w:rPr>
        <w:t>E. 2.7.1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 Stande kommt und welchen Beweiswert die einzelnen Beweismittel im Verhältnis zueinander haben (Moser/Beusch/Kneubühler, a.a.O., Rz. 3.140).</w:t>
      </w:r>
    </w:p>
    <w:p>
      <w:r>
        <w:rPr>
          <w:b/>
        </w:rPr>
        <w:t>E. 2.7.2</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Urteile des BVGer A-1623/2018 vom 16. Mai 2019 E. 3.7.2, A-7956/2015 vom 30. Juni 2016 E. 2.4, A-1335/2014 vom 14. Dezember 2015 E. 2.3).</w:t>
      </w:r>
    </w:p>
    <w:p>
      <w:r>
        <w:rPr>
          <w:b/>
        </w:rPr>
        <w:t>E. 2.7.3</w:t>
      </w:r>
    </w:p>
    <w:p>
      <w:r>
        <w:t>Die Beweislast für das Vorliegen eines Steuerobjekts als steuerbegründende Tatsache und damit auch für das Bestehen einer geldwerten Leistung obliegt demnach der Steuerbehörde (Urteile des BGer 2C_674/2015 und 2C_675/2015 vom 26. Oktober 2017 E. 7.4, 2C_263/2014 vom 21. Januar 2015 E. 5.2 m.Hw.; BVGE 2011/45 E. 4.3.2.2; Urteil des BVGer A-1427/2016 vom 9. August 2017 E. 2.2.2.2; Marco Duss/Andreas Helbing/Fabian Duss, in: Kommentar VStG, Art. 4 N. 132a). Diese Beweislast der Steuerbehörde gilt für alle drei bzw. vier Elemente der geldwerten Leistung (E. 2.4.2).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2.7.2), ist es am Steuerpflichtigen, diesen Beweis mit einem Gegenbeweis zu entkräften. Selbstveranlagungsprinzip und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3.4 und 4.3.2.2, teilweise publiziert in: BVGE 2011/45).</w:t>
      </w:r>
    </w:p>
    <w:p>
      <w:r>
        <w:rPr>
          <w:b/>
        </w:rPr>
        <w:t>E. 2.7.4</w:t>
      </w:r>
    </w:p>
    <w:p>
      <w:r>
        <w:t>Der Grundsatz der Massgeblichkeit der Handelsbilanz (sog. Massgeblichkeitsprinzip) stammt aus dem Gewinnsteuerrecht und besagt, dass die handelsrechtliche Bilanz und Erfolgsrechnung Ausgangspunkt und Grundlage der steuerrechtlichen Gewinnermittlung bilden (Jürg ALTORFER/ Marco GRETER, in: Kommentar VStG, Art. 5 N. 156). Die Steuerbehörden sind verpflichtet, auf die von den Organen verabschiedete Jahresrechnung abzustellen, ebenso hat sich die Gesellschaft auf ihrer Handelsbilanz behaften zu lassen (BGE 141 II 83 E. 3.1 f., 137 II 353 E. 6.2; Urteil des BVGer A-7248/2016 vom 3. April 2018 E. 2.5; Ernst Blumenstein/Peter Locher, System des schweizerischen Steuerrechts, 7. Aufl. 2016, S. 325 f. m.Hw.). Damit kommt dem Massgeblichkeitsprinzip unter anderem auch eine Beweisfunktion zu. Die Steuerbehörden sollen sich auf die Angaben des Steuerpflichtigen verlassen dürfen (zum Ganzen auch: Brülisauer/Mühlemann, in: Kommentar DBG, Art. 58 N. 18). Das Massgeblichkeitsprinzip bedeutet nicht, dass eine Handelsbilanz per se bindend ist. Massgeblich sind einzig die nach den zwingenden Bestimmungen des Handelsrechts ordnungsgemäss geführten Bücher. Entscheidend ist gemäss dem Grundsatz der Massgeblichkeit der Handelsbilanz somit der wirtschaftliche Sachverhalt, wie er nach den handelsrechtlichen Vorschriften in den Geschäftsbüchern dargestellt werden muss (Roland Burkhalter, Massgeblichkeitsgrundsatz, 2003, Rz. 168 ff.; Markus Reich, Steuerrecht, 2. Aufl. 2012, § 15 Rz. 65). Auch wenn das Massgeblichkeitsprinzip aus dem Gewinnsteuerrecht stammt, ist bei der Verrechnungssteuer ebenfalls der nach handelsrechtlichen Grundsätzen bestimmte Gewinn für die Ermittlung des verrechnungssteuerpflichtigen Gewinnanteils (vgl. Art. 4 Abs. 1 VStG) massgebend, indem das VStG ohne Umschreibung des Begriffes des Gewinns direkt an den handelsrechtlichen Gewinn anknüpft (zum Ganzen: BVGE 2015/25 E. 3.3; Urteil des BVGer A-7248/2016 vom 3. April 2018 E. 2.5; vgl. Florian Regli, Grundlagen für die Konzernbesteuerung im schweizerischen Steuerrecht, 2013, Rz. 500).</w:t>
      </w:r>
    </w:p>
    <w:p>
      <w:r>
        <w:rPr>
          <w:b/>
        </w:rPr>
        <w:t>E. 2.7.5</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(sog. antizipierte Beweiswürdigung), ohne dadurch den Anspruch auf rechtliches Gehör gemäss Art. 29 Abs. 2 BV zu verletzen (vgl. statt vieler: BGE 145 I 167 E. 4.1, 136 I 229 E. 5.3, m.Hw.; Urteile des BVGer A-4447/2019 vom 20. Januar 2022 E. 2.3.1, A-6037/2018 vom 9. Juni 2020 E. 2.3.2).</w:t>
      </w:r>
    </w:p>
    <w:p>
      <w:r>
        <w:rPr>
          <w:b/>
        </w:rPr>
        <w:t>E. 3</w:t>
      </w:r>
    </w:p>
    <w:p>
      <w:r>
        <w:t>Im vorliegenden Verfahren geht es um den Verkauf der hundertprozentigen Beteiligung an der B._______ AG durch die Beschwerdeführerin. Die Vorinstanz geht davon aus, dass die Beteiligung für Fr. 116'145.-- von der Beschwerdeführerin an E._______ veräussert worden sei und dass dieser Verkaufserlös dem Verwaltungsrat der Beschwerdeführerin (und bis zu deren Verkauf der B._______ AG), C._______, zugekommen sei. Die Beschwerdeführerin hält dagegen, die Beteiligung sei für Fr. 4'000.-- verkauft worden und es sei C._______ keine geldwerte Leistung erbracht worden. Damit ist im Folgenden zu prüfen, ob die Beschwerdeführerin C._______ eine geldwerte Leistung erbracht hat (E. 3.1) und, wenn ja, wie hoch diese Leistung war (E. 3.2). Schliesslich wird auf die Frage der Überwälzung einzugehen sein (E. 3.3).</w:t>
      </w:r>
    </w:p>
    <w:p>
      <w:r>
        <w:rPr>
          <w:b/>
        </w:rPr>
        <w:t>E. 3.1</w:t>
      </w:r>
    </w:p>
    <w:p>
      <w:r>
        <w:t>Unbestritten ist, dass die Beschwerdeführerin ihre Beteiligung an der B._______ AG im März 2012 an E._______ veräusserte.</w:t>
      </w:r>
    </w:p>
    <w:p>
      <w:r>
        <w:rPr>
          <w:b/>
        </w:rPr>
        <w:t>E. 3.1.1</w:t>
      </w:r>
    </w:p>
    <w:p>
      <w:r>
        <w:t>Die Vorinstanz geht davon aus, dass der Erlös aus dem Verkauf der Beteiligung an der B._______ AG C._______ zugekommen ist. Nicht gänzlich klar wird, ob sich die Beschwerdeführerin dem anschliesst. So hält sie einerseits verschiedentlich fest, der Erlös (in Höhe von Fr. 4'000.--) sei auf das Konto von C._______ überwiesen worden (Schreiben an die Vorinstanz vom 18. November 2019; Vernehmlassungsbeilage 4). Aus einem von der Beschwerdeführerin eingereichten Kontoauszug (Vernehmlassungsbeilage 11/3), den sie in ihrer Einsprache vom 19. Januar 2019 (Vernehmlassungsbeilage 11) als ihr eigenes Konto bezeichnete, der aber gemäss ihren Ausführungen im Schreiben vom 18. November 2019 (Vernehmlassungsbeilage 4) vom Privatkonto von C._______ stammen muss, ergibt sich am 9. April 2012 eine Überweisung in Höhe von Fr. 4'000.--, die von der F._______ AG [...] in Auftrag gegeben wurde. Als Mitteilung wurde «B._______ AG» angegeben, wobei handschriftlich der Vermerk «Verkaufspreis» hinzugefügt worden war. Andererseits brachte die Beschwerdeführerin auch vor, der Verkaufserlös aus dem Verkauf der Beteiligung an der B._______ AG sei bei ihr «integral» verbucht worden (Einsprache vom 9. Januar 2019; Vernehmlassungsbeilage 11). Später erklärte sie zudem, die Entnahme der Beteiligung B._______ AG sei erst im Jahr 2015 erfolgt, bzw. erst dann sei die Wertberichtigung erfolgt (Schreiben der Beschwerdeführerin an die Vorinstanz vom 26. Juli 2019 [Vernehmlassungsbeilage 7] und vom 18. November 2019 [Vernehmlassungsbeilage 4]). In der Beschwerde vom 28. Juli 2021 ans Bundesverwaltungsgericht äussert sich die Beschwerdeführerin nicht mehr explizit zur Frage, wem der Verkaufserlös zugeflossen ist. Sie bringt vor, C._______ sei keine geldwerte Leistung erbracht worden, eventualiter eine solche von Fr. 4'000.--.</w:t>
      </w:r>
    </w:p>
    <w:p>
      <w:r>
        <w:rPr>
          <w:b/>
        </w:rPr>
        <w:t>E. 3.1.2</w:t>
      </w:r>
    </w:p>
    <w:p>
      <w:r>
        <w:t>Die Vorbringen der Beschwerdeführerin erweisen sich als nicht schlüssig. Sie hat jene immer wieder geändert. Damit blieb der (beweisbelasteten) Vorinstanz nur, sich auf die vorhandenen Unterlagen und Indizien zu stützen. Aus der Buchhaltung der Beschwerdeführerin ergibt sich nicht, dass dort ein Verkaufserlös verbucht worden ist, auch wenn die Beschwerdeführerin zumindest in ihrer Einsprache vom 9. Januar 2019 (Vernehmlassungsbeilage 11) davon sprach. Hingegen ist auf dem Privatkonto von C._______ ein Eingang von Fr. 4'000.-- verzeichnet, der mit der B._______ AG im Zusammenhang steht. Dass die Zahlung von einer gemäss Handelsregisterauszug zu diesem Zeitpunkt nicht mehr existierenden Treuhandgesellschaft vorgenommen wurde, ist ein weiteres Element, dass die ganze Transaktion als seltsam erscheinen lässt, ändert aber nichts daran, dass sich hier ein Aktenstück findet, dem sich entnehmen lässt, dass C._______ kurz nach dem Verkauf der Beteiligung an der B._______ AG eine Leistung im Zusammenhang mit dieser Gesellschaft zugeflossen ist. Da es sich dabei angeblich um den Erlös aus dem Verkauf der Beteiligung an der B._______ AG durch die Beschwerdeführerin handelt, hat die Beschwerdeführerin C._______ gegenüber eine geldwerte Leistung erbracht. Das Vorbringen der Beschwerdeführerin, die Entnahme der Beteiligung B._______ AG sei erst im Jahr 2015 erfolgt, bzw. erst dann sei die Wertberichtigung erfolgt (Schreiben der Beschwerdeführerin an die Vorinstanz vom 26. Juli 2019 [Vernehmlassungsbeilage 7] und vom 18. November 2019 [Vernehmlassungsbeilage 4]), ist für die Frage, ob C._______ eine geldwerte Leistung erbracht wurde, unbehelflich.</w:t>
      </w:r>
    </w:p>
    <w:p>
      <w:r>
        <w:rPr>
          <w:b/>
        </w:rPr>
        <w:t>E. 3.1.3</w:t>
      </w:r>
    </w:p>
    <w:p>
      <w:r>
        <w:t>Da C._______ nicht Aktionär der Beschwerdeführerin ist, kann es sich nicht um die Rückzahlung von einbezahltem Kapital handeln. Auch ist weder ersichtlich noch behauptet, dass C._______ der Beschwerdeführerin eine Gegenleistung erbracht hätte. Eine solche Leistung ohne Gegenleistung führt zwangsläufig zu einer Entreicherung der Gesellschaft, hier der Beschwerdeführerin. Damit ist die erste in E. 2.4.2 erwähnte Voraussetzung für das Vorliegen einer geldwerten Leistung erfüllt.</w:t>
      </w:r>
    </w:p>
    <w:p>
      <w:r>
        <w:rPr>
          <w:b/>
        </w:rPr>
        <w:t>E. 3.1.4</w:t>
      </w:r>
    </w:p>
    <w:p>
      <w:r>
        <w:t>In Bezug auf die zweite in E. 2.4.2 genannte Voraussetzung ist zu berücksichtigen, dass die Tochter von C._______ unbestrittenermassen Begünstigte der A._______ Stiftung ist, welche ihrerseits 100 % der Aktien an der Beschwerdeführerin hält. Mit anderen Worten liegt ein verwandschaftliches Verhältnis zwischen der Begünstigten der Aktionärin und C._______ vor. Bezeichnend ist auch, dass die Beschwerdeführerin auch in anderem Zusammenhang geldwerte Leistungen an C._______ erbracht hat. So wurden ihm unbestrittenermassen und aktenkundig ein Fahrzeug, Büromaterial, Telefon, Beratungsleistungen und Reisespesen auch für private Zwecke zur Verfügung gestellt. Im weiteren beläuft sich sein Kontokorrent bei der Beschwerdeführerin per Ende 2012 auf Fr. 889'230.--. Aus alledem ergibt sich, dass C._______ eine der Inhaberin der Beteiligungsrechte der Beschwerdeführerin nahestehende Person ist (vgl. E. 2.6). Auch das zweite Kriterium ist damit erfüllt.</w:t>
      </w:r>
    </w:p>
    <w:p>
      <w:r>
        <w:rPr>
          <w:b/>
        </w:rPr>
        <w:t>E. 3.1.5</w:t>
      </w:r>
    </w:p>
    <w:p>
      <w:r>
        <w:t>Eine Leistung, wie die vorliegende, ohne jegliche Gegenleistung, bei der nicht z.B. Goodwill geschaffen werden soll, wäre einer unabhängigen Drittperson nicht erbracht worden. Somit erscheint die Leistung als ungewöhnlich, womit auch die dritte in E. 2.4.2 genannte Voraussetzung erfüllt ist.</w:t>
      </w:r>
    </w:p>
    <w:p>
      <w:r>
        <w:rPr>
          <w:b/>
        </w:rPr>
        <w:t>E. 3.1.6</w:t>
      </w:r>
    </w:p>
    <w:p>
      <w:r>
        <w:t>Bereits wenn von einem Verkaufserlös von Fr. 4'000.-- ausgegangen wird (über die tatsächliche Höhe der Leistung ist in E. 3.2 zu befinden), der C._______ zugeflossen ist, musste der ungewöhnliche Charakter dieser Leistung für die handelnden Gesellschaftsorgane, vorliegend (auch) C._______ selbst, erkennbar sein. Auch das letzte Kriterium für das Vorliegen einer geldwerten Leistung ist damit erfüllt (E. 2.4.2).</w:t>
      </w:r>
    </w:p>
    <w:p>
      <w:r>
        <w:rPr>
          <w:b/>
        </w:rPr>
        <w:t>E. 3.1.7</w:t>
      </w:r>
    </w:p>
    <w:p>
      <w:r>
        <w:t>Damit ist festzuhalten, dass die Beschwerdeführerin gegenüber C._______ eine geldwerte Leistung erbracht hat.</w:t>
      </w:r>
    </w:p>
    <w:p>
      <w:r>
        <w:rPr>
          <w:b/>
        </w:rPr>
        <w:t>E. 3.2</w:t>
      </w:r>
    </w:p>
    <w:p>
      <w:r>
        <w:t>Nun ist auf die Höhe dieser Leistung einzugehen.</w:t>
      </w:r>
    </w:p>
    <w:p>
      <w:r>
        <w:rPr>
          <w:b/>
        </w:rPr>
        <w:t>E. 3.2.1</w:t>
      </w:r>
    </w:p>
    <w:p>
      <w:r>
        <w:t>Die Vorinstanz geht von einem Verkaufserlös der Beteiligung an der B._______ AG von Fr. 116'145.-- aus, welcher dem Substanzwert der B._______ AG im Zeitpunkt der Veräusserung entspreche. Dieser Substanzwert ergebe sich aus der Bilanz der B._______ AG vom 31. Dezember 2011. Dort sei eine Darlehensforderung der B._______ AG gegenüber der A._______ Stiftung in Höhe von Fr. 117'945.-- ausgewiesen. Davon seien transitorische Passiven in Höhe von Fr. 1'800.-- abzuziehen, was den Substanzwert von Fr. 116'145.-- ergebe. Dieser Substanzwert ergebe sich auch, wenn zum Aktienkapital von Fr. 100'000.-- die Reserven in Höhe von Fr. 1'000.-- und der Gewinn von Fr. 15'145.-- hinzugezählt würden. In der Bilanz der Beschwerdeführerin wiederum sei die Beteiligung an der B._______ AG in Höhe von Fr. 100'000.-- geführt worden, was wenn von einem Substanzwert von Fr. 116'145.-- ausgegangen würde dem Grundsatz der vorsichtigen Bilanzierung gemäss Art. 960 Abs. 2 des Obligationenrechts vom 30. März 1911 (OR, SR 220) entspreche. Diese, sich auf die Akten stützenden Ausführungen der Vorinstanz sind schlüssig und nachvollziehbar.</w:t>
      </w:r>
    </w:p>
    <w:p>
      <w:r>
        <w:rPr>
          <w:b/>
        </w:rPr>
        <w:t>E. 3.2.2</w:t>
      </w:r>
    </w:p>
    <w:p>
      <w:r>
        <w:t>Was die Beschwerdeführerin dagegen vorbringt, verfängt nicht. Den von ihr behaupteten Mantelhandel hat sie nicht ansatzweise belegen können. Mit dem Umstand, dass die Beteiligung an der B._______ AG in der Bilanz der Beschwerdeführerin mit einem Wert von Fr. 100'000.-- ausgewiesen war, ist ihre Behauptung, dabei habe es sich um einen «Nonvaleur» gehandelt, unvereinbar. Auch der Verkaufspreis von Fr. 4'000.-- ergibt sich nicht schlüssig aus den Akten. Aus dem beigelegten Auszug des Privatkontos von C._______ wird nicht ersichtlich, ob es sich bei der Überweisung im Zusammenhang mit der B._______ AG, wie behauptet, um den gesamten Kaufpreis oder um eine An- oder Teilzahlung handelt. Zweckdienliche Unterlagen, wie einen Kaufvertrag, konnte die Beschwerdeführerin nicht beibringen. Bei ihrer Begründung, dass das in den Büchern der B._______ AG verzeichnete Darlehen an die A._______ Stiftung gar kein Darlehen an diese Gesellschaft sein solle, bringt die Beschwerdeführerin widersprüchliche Erklärungen vor. So erklärt sie einerseits, es habe sich um ein Kontokorrent der ehemaligen Aktionäre der B._______ AG, der Eheleute D._______, gehandelt, welches diese nie zurückgeführt hätten. Später macht sie zumindest sinngemäss geltend, der neue Alleinaktionär der B._______ AG habe eine Darlehensverpflichtung gegenüber der B._______ AG gehabt. Wie beides zutreffen soll, erklärt die Beschwerdeführerin nicht. Auch ihre Erklärung, dass die Position «Kontokorrent Aktionäre» in der Bilanz der B._______ AG aufgrund eines Irrtums zu «Darlehen A._______ Stiftung» geworden sei, überzeugt nicht. Immerhin handelt es sich bei der A._______ Stiftung um die Grossmuttergesellschaft der B._______ AG (und nicht etwa die Aktionärin). Zwar reicht die Beschwerdeführerin E-Mails der ehemaligen und aktuellen Organe der A._______ Stiftung ein. Aber die darin enthaltene Aussage, die B._______ AG sei der A._______ Stiftung nicht bekannt, überzeugt vor dem bisher dargestellten Hintergrund nicht. Ob die A._______ Stiftung über ein Bankkonto verfügt, ist dabei unerheblich. Für die Gewährung eines Darlehens ist ein Bankkonto nicht zwingend notwendig. Es bleibt dabei, dass die Berechnung des Substanzwertes durch die Vorinstanz überzeugt. Die unbelegten und überdies wenig konsistenten Behauptungen der Beschwerdeführerin vermögen daran nichts zu ändern. Überdies hat die Beschwerdeführerin die Einschätzung des kantonalen Steueramtes [...], in der unter anderem eine verdeckte Gewinnausschüttung an C._______ in Höhe von Fr. 116'145.-- enthalten war, in Bezug auf die direkten Steuern akzeptiert (Vernehmlassungsbeilage 3).</w:t>
      </w:r>
    </w:p>
    <w:p>
      <w:r>
        <w:rPr>
          <w:b/>
        </w:rPr>
        <w:t>E. 3.2.3</w:t>
      </w:r>
    </w:p>
    <w:p>
      <w:r>
        <w:t>Es ist nach dem Gesagten davon auszugehen, dass der Erlös aus dem Verkauf der Beteiligung an der B._______ AG C._______ zugeflossen ist. Der betroffene Verkaufserlös ist auf Fr. 116'145.-- festzusetzen. Insgesamt hat damit die Beschwerdeführerin C._______ eine geldwerte Leistung in Höhe von Fr. 116'145.-- erbracht und schuldet darauf eine Verrechnungssteuer von Fr. 40'650.75. Dass die Beschwerdeführerin der Vorinstanz auf dieser Forderung die gesetzlich vorgesehenen Verzugszinsen schuldet, bestreitet die Beschwerdeführerin nicht. Der Antrag, die vorinstanzliche Verfügung sei in Bezug auf die genannte Verrechnungssteuerforderung und den entsprechenden Verzugszins aufzuheben, ist damit abzuweisen.</w:t>
      </w:r>
    </w:p>
    <w:p>
      <w:r>
        <w:rPr>
          <w:b/>
        </w:rPr>
        <w:t>E. 3.2.4</w:t>
      </w:r>
    </w:p>
    <w:p>
      <w:r>
        <w:t>Es bleibt, auf die Beweisanträge der Beschwerdeführerin einzugehen, welche die Befragung mehrerer Personen als Zeugen beantragt. Vorwegzunehmen ist, dass es bloss um die Befragung geht. Dass diese z.B. Kaufverträge edieren könnten, ist schon deshalb nicht möglich, weil die Beschwerdeführerin explizit darauf hingewiesen hat, dass solche Verträge nicht existieren (Schreiben der Beschwerdeführerin an die Vorinstanz vom 18. November 2019 [Vernehmlassungsbeilage 4]).</w:t>
      </w:r>
    </w:p>
    <w:p>
      <w:r>
        <w:rPr>
          <w:b/>
        </w:rPr>
        <w:t>E. 3.2.4.1</w:t>
      </w:r>
    </w:p>
    <w:p>
      <w:r>
        <w:t>Das Organ der A._______ Stiftung, G._______, könnte nicht mehr aussagen, als sie in ihrem E-Mail vom 11. August 2017 schreibt, nämlich, dass die B._______ AG ihrem verstorbenen Bruder nicht bekannt gewesen sei und sich in den Unterlagen der Stiftung, abgesehen von den Anfragen, ob der Stiftung die B._______ AG bekannt sei, keine Hinweise auf diese Gesellschaft finden würden. Auf ihre Befragung kann daher in antizipierter Beweiswürdigung verzichtet werden.</w:t>
      </w:r>
    </w:p>
    <w:p>
      <w:r>
        <w:rPr>
          <w:b/>
        </w:rPr>
        <w:t>E. 3.2.4.2</w:t>
      </w:r>
    </w:p>
    <w:p>
      <w:r>
        <w:t>Was den neuen Aktionär der B._______ AG, E._______, anbelangt, wäre zwar möglich, dass er die Ausführungen der Beschwerdeführerin zum Kaufpreis der Beteiligung der B._______ AG sowie zur Bilanz dieser Gesellschaft bestätigen würde. Dies würde aber nichts daran ändern, dass den Akten und insbesondere den massgeblichen Büchern der beteiligten Gesellschaften (der Beschwerdeführerin und der B._______ AG) etwas anderes zu entnehmen ist. Diesen käme nach Auffassung des Bundesverwaltungsgerichts ein höherer Beweiswert zu (vgl. E. 2.7.4: Massgeblichkeitsprinzip). Auch auf diese Befragung ist in antizipierter Beweiswürdigung zu verzichten.</w:t>
      </w:r>
    </w:p>
    <w:p>
      <w:r>
        <w:rPr>
          <w:b/>
        </w:rPr>
        <w:t>E. 3.2.4.3</w:t>
      </w:r>
    </w:p>
    <w:p>
      <w:r>
        <w:t>Die Befragung von C._______ ist ebenfalls in antizipierter Beweiswürdigung abzuweisen. Er ist bzw. war Verwaltungsrat der beteiligten Gesellschaften. Die Einträge in die Buchhaltung wurden während seiner Zeit als Verwaltungsrat vorgenommen. Er hat den Rechtsvertreter im vorliegenden Verfahren beauftragt. Er kann zwar den von der Beschwerdeführerin dargestellten Sachverhalt wiederholen, wird jedoch nichts zur weiteren Klärung beitragen können, hätte er dies doch sonst mit Sicherheit bereits gegenüber dem die Gesellschaft vertretenden Rechtsanwalt getan.</w:t>
      </w:r>
    </w:p>
    <w:p>
      <w:r>
        <w:rPr>
          <w:b/>
        </w:rPr>
        <w:t>E. 3.2.4.4</w:t>
      </w:r>
    </w:p>
    <w:p>
      <w:r>
        <w:t>Schliesslich ist auch auf die Befragung [der Eheleute D._______] in antizipierter Beweiswürdigung zu verzichten. Selbst wenn diese bestätigen würden, dass das «Kontokorrent Aktionäre» nie zurückgeführt worden sei, würde dies nichts daran ändern, dass später in den Büchern der B._______ AG ein Darlehen der A._______ Stiftung verzeichnet wurde. Auch die Bestätigung eines Mantelhandels würde nichts an den Büchern sowohl der B._______ AG als auch der Beschwerdeführerin ändern (E. 2.7.4).</w:t>
      </w:r>
    </w:p>
    <w:p>
      <w:r>
        <w:rPr>
          <w:b/>
        </w:rPr>
        <w:t>E. 3.2.4.5</w:t>
      </w:r>
    </w:p>
    <w:p>
      <w:r>
        <w:t>Damit sind alle Anträge der Beschwerdeführerin auf Zeugenbefragung in antizipierter Beweiswürdigung abzuweisen (E. 2.7.5). Anzumerken ist jedoch, dass die Vorinstanz gehalten gewesen wäre, sich zu den entsprechenden - bereits vor der Vorinstanz gestellten - Beweisanträgen der Beschwerdeführerin zu äussern. Dies hat sie unterlassen und insofern deren rechtliches Gehör verletzt (E. 1.6.1). Allerdings vermag diese Verletzung nichts am Ergebnis zu ändern, womit die Verletzung als geheilt zu betrachten ist, weil sich eine Rückweisung als formaljuristischer Leerlauf erweisen würde (vgl. E. 1.6.2). Zwar hat die Beschwerdeführerin in Bezug auf die Verletzung des rechtlichen Gehörs keinen Antrag gestellt, diese jedoch gerügt. Dass sie diesbezüglich Recht erhält, wird im Rahmen der Festlegung der Kosten- und Entschädigungsfolgen (E. 4) zu berücksichtigen sein.</w:t>
      </w:r>
    </w:p>
    <w:p>
      <w:r>
        <w:rPr>
          <w:b/>
        </w:rPr>
        <w:t>E. 3.3</w:t>
      </w:r>
    </w:p>
    <w:p>
      <w:r>
        <w:t>Es bleibt, auf die Frage der Überwälzung der Verrechnungssteuer auf C._______ einzugehen.</w:t>
      </w:r>
    </w:p>
    <w:p>
      <w:r>
        <w:rPr>
          <w:b/>
        </w:rPr>
        <w:t>E. 3.3.1</w:t>
      </w:r>
    </w:p>
    <w:p>
      <w:r>
        <w:t>Die Vorinstanz hat sich im Dispositiv ihres Einspracheentscheids vom 25. Juni 2021 nicht zur Frage der Überwälzung der Verrechnungssteuer geäussert, obwohl sie in ihrer Verfügung vom 9. Januar 2019 im Dispositiv festgehalten hat, die Verrechnungssteuer sei auf C._______ zu überwälzen, und obwohl die Beschwerdeführerin in ihrer Einsprache vom 8. Februar 2019 beantragt hatte, sie sei nicht zu verpflichten, die entsprechende Verrechnungssteuer auf C._______ zu überwälzen. Die Vorinstanz äussert sich jedoch in der Begründung des Einspracheentscheids kurz zur Frage der Überwälzung («II. Erwägungen» Ziff. 1.5). Die Auffassung der Vorinstanz ist damit klar und eine Rückweisung der Sache an die Vorinstanz zur Behandlung des entsprechenden Antrags würde sich als formaljuristischer Leerlauf erweisen (vgl. E. 1.6.1).</w:t>
      </w:r>
    </w:p>
    <w:p>
      <w:r>
        <w:rPr>
          <w:b/>
        </w:rPr>
        <w:t>E. 3.3.2</w:t>
      </w:r>
    </w:p>
    <w:p>
      <w:r>
        <w:t>Art. 14 Abs. 1 VStG hält fest, dass die steuerbare Leistung, hier also die geldwerte Leistung, unter Strafandrohung bei der Auszahlung, Überweisung, Gutschrift oder Verrechnung ohne Rücksicht auf die Person des Gläubigers um den Steuerbetrag zu kürzen ist und dass Vereinbarungen, die dieser Verpflichtung widersprechen, nichtig sind (E. 2.2; ausführlich auch zu den Gründen dieser Überwälzungspflicht: Urteil des BVGer A-3066/2017 vom 3. Mai 2018 E. 3.12). Da - wie zuvor festgestellt (E. 3.1 und 3.2) - die Beschwerdeführerin C._______ eine geldwerte Leistung in Höhe von Fr. 116'145.-- erbracht hat, hat sie die Verrechnungssteuer in Höhe von Fr. 40'650.75 (35 % von Fr. 116'145.--) zwingend auf diesen zu überwälzen. Auch der Antrag, dass die Beschwerdeführerin die Verrechnungssteuer nicht auf C._______ überwälzen müsse, ist damit abzuweisen.</w:t>
      </w:r>
    </w:p>
    <w:p>
      <w:r>
        <w:rPr>
          <w:b/>
        </w:rPr>
        <w:t>E. 3.4</w:t>
      </w:r>
    </w:p>
    <w:p>
      <w:r>
        <w:t>Nach dem Gesagten ist die Beschwerde abzuweisen, soweit darauf einzutreten ist.</w:t>
      </w:r>
    </w:p>
    <w:p>
      <w:r>
        <w:rPr>
          <w:b/>
        </w:rPr>
        <w:t>E. 4.1</w:t>
      </w:r>
    </w:p>
    <w:p>
      <w:r>
        <w:t>Ausgangsgemäss sind die Verfahrenskosten von insgesamt Fr. 4'000.-- der unterliegenden Beschwerdeführerin - unter Berücksichtigung der Verletzung von deren rechtlichem Gehör vor der Vorinstanz (E. 3.2.4.5) - in Höhe von Fr. 3'000.-- aufzuerlegen (Art. 63 Abs. 1 VwVG und Art. 1 ff. des Reglements vom 21. Februar 2008 über die Kosten und Entschädigungen vor dem Bundesverwaltungsgericht [VGKE, SR 173.320.2]). Dieser Betrag ist dem von der Beschwerdeführerin geleistete Kostenvorschuss zu entnehmen. Der Restbetrag in Höhe von Fr. 1'000.-- ist ihr nach Eintritt der Rechtskraft des vorliegenden Urteils zurückzuerstatten.</w:t>
      </w:r>
    </w:p>
    <w:p>
      <w:r>
        <w:rPr>
          <w:b/>
        </w:rPr>
        <w:t>E. 4.2</w:t>
      </w:r>
    </w:p>
    <w:p>
      <w:r>
        <w:t>Die Vorinstanz hat der Beschwerdeführerin eine reduzierte Parteientschädigung zu bezahlen (vgl. E. 3.2.4.5 und 4.1; Art. 64 Abs. 1 VwVG und Art. 7 Abs. 1 und 2 VGKE). Mangels Kostennote wird diese praxisgemäss auf Fr. 1'500.-- festgesetzt. Der Vorinstanz steht als Bundesbehörde keine Parteientschädigung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