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A-3409/2010 vom 4. April 2011</w:t>
      </w:r>
    </w:p>
    <w:p>
      <w:r>
        <w:t>Bundesverwaltungsgericht, 2011-04-04, DE</w:t>
      </w:r>
    </w:p>
    <w:p>
      <w:r>
        <w:rPr>
          <w:b/>
        </w:rPr>
        <w:t xml:space="preserve">Quelle: </w:t>
      </w:r>
      <w:r>
        <w:t>https://mcp.opencaselaw.ch/entscheid/bvger_A-3409_2010</w:t>
      </w:r>
    </w:p>
    <w:p>
      <w:r>
        <w:t>FR: TAF A-3409/2010 du 4 avril 2011</w:t>
      </w:r>
    </w:p>
    <w:p>
      <w:r>
        <w:t>IT: TAF A-3409/2010 del 4 aprile 2011</w:t>
      </w:r>
    </w:p>
    <w:p>
      <w:pPr>
        <w:pStyle w:val="Heading2"/>
      </w:pPr>
      <w:r>
        <w:t>Regeste</w:t>
      </w:r>
    </w:p>
    <w:p>
      <w:r>
        <w:t>Mehrwertsteuer</w:t>
      </w:r>
    </w:p>
    <w:p>
      <w:pPr>
        <w:pStyle w:val="Heading2"/>
      </w:pPr>
      <w:r>
        <w:t>Erwägungen</w:t>
      </w:r>
    </w:p>
    <w:p>
      <w:r>
        <w:rPr>
          <w:b/>
        </w:rPr>
        <w:t>E. 1.1</w:t>
      </w:r>
    </w:p>
    <w:p>
      <w:r>
        <w:t>Vorliegend ist unbestritten, dass die Beschwerdeführerin Dienstleisten aus dem Ausland bezog, hierfür aber keine Mehrwertsteuern deklarier­te. Bei den bezogenen Dienstleistungen handelte sich um Marketingleistungen im Zusammenhang mit dem Produktvertrieb. Diesen Sachverhalt hat die ESTV im Rahmen der Kontrolle selber ermittelt. Zur Begründung der Aufrechnung der Dienstleistungsimporte führte die ESTV denn auch aus, ihrer Feststellung nach beschäftige die A._______ Ltd. (London) Mitarbeiter, die für die Beschwerdeführerin in Lon­don, Dubai, Bahrein und Monteviedo den Markt betreuten; die Beschwer­deführerin übernehme die entsprechenden finanziellen Aufwendun­gen. Wenn die ESTV in der Vernehmlassung nun vorbringt, die Aussage, wonach es sich bei den bezogenen Dienstleistungen um Marketingleistungen handle, sei eine reine Parteibehauptung, handelt sie damit entweder widersprüchlich oder verwechselt die Frage des Steuerobjekts mit jener der Zuordnung von Eingangs- und Ausgangsleistungen. Widersprüchlich handelt sie, weil sie im Einspracheentscheid auf Seite 9 zuweilen selber ausführte, dass die fraglichen Zahlungen für die Marktbetreuung im Ausland - und damit im weitesten Sinne für Marketing - erfolgten. Eine Verwechslung der Frage des Steuerobjekts mit jener der Zuordnung von Eingangs- und Ausgangsleistungen liegt vor, wenn die ESTV aus einem allfällig mangelhaften Nachweis, wie die Eingangsleistung (und damit vorliegend eben das Steuerobjekt) verwendet wurde, auf eine ungenügende mehrwertsteuerliche Qualifikation desselben schliessen will, wie sie dies in der Vernehmlassung auf Seite 2 offensichtlich tut. Vorliegend ist einzig speziell, dass aufgrund des bei Dienstleistungsbezügen aus dem Ausland anwendbaren Reverse-Char­ge-Verfahrens aus Sicht des Steuerpflichtigen Eingangsleistungen und nicht Ausgangsumsätze besteuert werden (oben E. 2.1). Entgegen der offensichtlichen Ansicht der ESTV kann es nun durchaus sein, dass ihr der Nachweis des Steuerobjekts (und damit gleichzeitig eben auch der Nachweis vorsteuerbelasteter Eingangsleistungen) gelingt, die Beschwerdeführerin diese Eingangsleistung sodann aber nicht rechtsgenügend einem zum Vorsteuerabzug berechtigenden Umsatz zuordnen kann. Wie es sich damit vorliegend verhält ist - wie erwähnt - aber nicht im Rahmen des Steuerobjekts, sondern bei der Frage des Vorsteuerabzugs (nachfolgend E. 5.3) zu klären. Nicht zulässig ist, dass beim Nachweis des Steuerobjekts von Marketingleistungen ausgegangen wird, bei der Zuordnung der Leistungen zu Ausgangsumsätzen die Qualifikation als Marketingleistungen aber wieder in Frage gestellt wird. Im Zusammenhang mit dem Steuerobjekt strittig bleibt damit einzig, ob grenzüberschreitende Zahlungen zwischen Konzerngesellschaften bzw. Zahlungen an Betriebsstätten mehr­wertsteuerlich überhaupt relevant sein können. Entgegen der Ansicht der Be­schwerde­füh­rerin ist festzuhalten, dass sie es sind, da der grenzüber­schreitende Leistungsaustausch zwischen einer Betriebsstätte und dem Sitz der Gesellschaft als Aussenumsatz gilt (oben E. 2.3).</w:t>
      </w:r>
    </w:p>
    <w:p>
      <w:r>
        <w:rPr>
          <w:b/>
        </w:rPr>
        <w:t>E. 1.2</w:t>
      </w:r>
    </w:p>
    <w:p>
      <w:r>
        <w:t>Nachdem das Steuerobjekt nachgewiesen ist, gilt es nun zu klären, ob darauf lastende, d.h. von der ESTV aufgerechnete Vorsteuern, zum Ab­zug ge­bracht werden können. Dies ist dann der Fall, wenn die Eingangs­leistungen steuerbaren oder -befreiten Ausgangsumsätzen zugewie­sen werden können. Dies nachzuweisen obliegt der Beschwerdefüh­rerin (oben E. 4.4). Es trifft zwar zu, dass die Beschwerdeführerin praktisch nur zweierlei Um­sätze, nämlich ausgenommene (Zinsen bzw. Finanzerträge) und steu­er­be­freite (Dienstleistungsexporte) erzielte. Daraus den Schluss zu ziehen, sämt­liche aufgerechneten Eingangsleistungen seien zwingend den steuer­befreiten Umsätzen zuzurechnen und der Vorsteuerabzug sei voll­stän­dig zu gewähren, wäre aber - entgegen der Auffassung der Beschwerdefüh­rerin - zu kurz gegriffen. Es wäre nämlich durchaus möglich, dass die auf­gerechneten Eingangsumsätze (Marketingleistungen) anderweitig als für befreite Umsätze, so zum Beispiel für Nichtumsätze, verwendet wurden. Die ESTV verlangte von der Steuerpflichtigen denn auch zu Recht den Nach­weis, in welchem Umfang die aufgerechneten Dienstleistungs­be­züge aus dem Ausland den befreiten Umsätzen zuzuordnen sind. Die Be­schwer­deführerin hätte diesen Nachweis mit weiteren Angaben, etwa zu ihrem Vertriebsnetz, ohne Weiteres erbringen können. Angesichts des Umfangs der fraglichen Leistungen durfte die ESTV zu Recht davon ausgehen, dass Unterlagen bestehen oder zumindest begründet werden kann, weshalb nicht. Dies, zumal die Marketingleistungen wohl nicht nur mehr­wertsteuerlich relevant waren.</w:t>
      </w:r>
    </w:p>
    <w:p>
      <w:r>
        <w:rPr>
          <w:b/>
        </w:rPr>
        <w:t>E. 1.3</w:t>
      </w:r>
    </w:p>
    <w:p>
      <w:r>
        <w:t>Erst im Verfahren vor dem Bundesverwaltungsgericht und auch hier erst nach Eingang der Vernehmlassung der ESTV legte die Beschwerdeführerin die im Sinne von Art. 32 Abs. 2 VwVG ausschlaggebend erscheinenden Beweismittel ins Recht. Deren Qualifikation als ausschlaggebend rechtfertigt sich vorliegend deshalb, weil die ESTV noch in der Vernehmlassung ausdrücklich die Vorlage solcherlei Beweise verlangt und die Gewährung des Vorsteuerabzugs davon abhängig gemacht hat. Wenn auch spät, so ist die Beschwerdeführerin nunmehr ihrer Obliegenheit, Nach­weise für die Verwendung der aufgerechneten Eingangsleistungen vor­zulegen, nachgekommen. Mit den eingereichten Unterlagen lassen sich die fraglichen Eingangsleistungen denn auch ohne Weiteres dem befreiten Umsatz zuweisen. Sie zeigen nämlich, dass die Beschwerdeführerin während den im Streit liegenden Steuerperioden der B._______ in Bahrain, der C._______ in Monteviedo, der D._______ in Dubai und der A._______ Ltd. in London Marketingleistungen weiterbelastete. Dass es sich bei den vorgelegten «Credit Notes» um nachträglich angefertigte Beweismittel handelt, ist schon deshalb nicht anzunehmen, weil die Beschwerdeführerin bereits zusammen mit der Beschwerdeschrift ans Bundesverwaltungsgericht die gleiche Art Unterlagen, allerdings die Steuerperioden 2005/2006 betreffend, einreichte. Somit lassen sich die aus dem Ausland bezogenen Marketingleistungen, auf welchen die ESTV Mehrwertsteuern aufrechnete, ohne Weiteres dem steuerbaren (befreiten) Umsatz zuweisen. Sie gehören damit zu den abziehbaren Vorsteuern. Das späte Einreichen der entscheidenden Beweismittel durch die Beschwerdeführerin ist bei der Kostenverlegung zu würdigen (nachfolgend E. 7). 2.</w:t>
      </w:r>
    </w:p>
    <w:p>
      <w:r>
        <w:rPr>
          <w:b/>
        </w:rPr>
        <w:t>E. 1.4</w:t>
      </w:r>
    </w:p>
    <w:p>
      <w:r>
        <w:t>Gemäss Art. 37 VGG richtet sich das Verfahren vor dem Bundesverwal­tungsgericht nach dem VwVG, soweit das VGG nichts anderes bestimmt. Damit ist auch Art. 32 Abs. 2 VwVG zu beachten, wonach verspäte­te Parteivorbringen, die ausschlaggebend erscheinen, trotz Verspätung be­rücksichtigt werden können. Der Begriff der Verspätung ist weit zu verste­hen; es fallen auch verfrüht oder unaufgefordert eingereichte Stellungnah­men darunter (Bernhard Waldmann/Jürg Bickel, in: Praxiskommen­tar VwVG, Waldmann/Weissenberger [Hrsg.], Zürich 2009, Art. 32 N 14). Nun statuiert Art. 2 Abs. 1 VwVG für das Steuerverfah­ren insofern eine Ausnahme, als dass die genann­te Regelung von Art. 32 Abs. 2 VwVG auf Steuerverfahren keine Anwendung findet. Das (neue) MWSTG macht von der Ausnahme wiederum eine Ausnahme und hält in Art. 81 Abs. 1 fest, dass Art. 2 Abs. 1 VwVG auf das Mehrwert­steu­erverfahren keine Anwendung finde. Das Bundesverwaltungsgericht hat Art. 81 MWSTG ausdrücklich und wiederholt unter die von Art. 113 Abs. 3 MWSTG anvisierten, sofort anwendbaren Verfahrensbestimmungen subsumiert (Urteile des Bundes­verwaltungsgerichts A 2998/2009 vom 11. November 2010 E. 1.2 und A 5078/2008 vom 26. Mai 2010 E. 2.1; Pascal Moll­ard/Xavier Oberson/Anne Tissot Be­ne­det­to, Traité TVA, Basel 2009, S. 1235, N 670). Damit ist festzuhalten, dass Art. 32 Abs. 2 VwVG im vorliegenden Mehrwertsteuerverfahren anwendbar ist und folglich auch verspätete Vorbringen oder Beweiseingaben, soweit sie aus­schlaggebend erscheinen, be­rücksichtigt werden können. Ein entsprechendes Verhalten der Parteien wird jedoch bei der Kos­tenverlegung mit einbezogen (vgl. Urteil des Bun­des­ver­wal­tungs­gerichts A 1374/2006 vom 21. Januar 2008 E. 4).</w:t>
      </w:r>
    </w:p>
    <w:p>
      <w:r>
        <w:rPr>
          <w:b/>
        </w:rPr>
        <w:t>E. 2.1</w:t>
      </w:r>
    </w:p>
    <w:p>
      <w:r>
        <w:t>Bleibt zu klären, ob der Beschwerdeführerin die Anwendung der 0.02%-Pauschale zu gewähren ist. Ihr obliegt der Beweis dafür, dass die entsprechenden Voraussetzungen erfüllt waren (oben E. 4.6). In den im Streit liegenden Steuerperioden waren zwei unterschiedliche Praxen anwendbar (oben E. 3.5).</w:t>
      </w:r>
    </w:p>
    <w:p>
      <w:r>
        <w:rPr>
          <w:b/>
        </w:rPr>
        <w:t>E. 2.1.1</w:t>
      </w:r>
    </w:p>
    <w:p>
      <w:r>
        <w:t>Als Nebentätigkeit galt bis am 31. De­zem­ber 2000 eine Aktivität, die nicht dem hauptsäch­lichen Geschäfts- bzw. Unternehmenszweck entsprach (oben E. 3.5). Obwohl der Zweck der Beschwerdeführerin gemäss Eintrag im Handelsregister unter anderem auch das Gewähren von Darlehen war (oben Bst. A), kann dies mit Blick auf die tatsächlich erzielten Um­sätze der Steuerpflichtigen entgegen der Ansicht der ESTV weder qualitativ noch quantitativ als hauptsächlicher Geschäfts- bzw. Unternehmens­zweck bezeichnet werden. So erzielte die Beschwerdeführerin gemäss Korrekturabrechnung etwa für das Jahr 2000 einen Umsatz aus «Export von Gegenständen und Dienstleistungen, Leistungen im Ausland» (Ziff. 040 der Korrekturabrechnung) von Fr. 444'927'192.-- und einen «von der Steuer ausgenommenen Umsatz» (Ziff. 043 der Korrekturabrechnung) von Fr. 46'224'537.--. Bei einem Gesamtumsatz von Fr. 491'151'639.-- (Ziff. 050 der Korrekturabrechnung) machten die ausge­nommenen Umsätze (Zinseinnahmen) damit gerade mal 9.4% aus. Die von der ESTV aufgestellte Voraussetzung für das Vorliegen einer Nebentätigkeit (Aktivität, die nicht dem hauptsäch­lichen Geschäfts- bzw. Unternehmenszweck entspricht) war demnach erfüllt. Dies betrifft, wie gesagt, die Zeit vor dem 31. De­zem­ber 2000.</w:t>
      </w:r>
    </w:p>
    <w:p>
      <w:r>
        <w:rPr>
          <w:b/>
        </w:rPr>
        <w:t>E. 2.1.2</w:t>
      </w:r>
    </w:p>
    <w:p>
      <w:r>
        <w:t>Ab dem 1. Januar 2001 war nicht mehr der hauptsäch­liche Geschäfts- bzw. Unternehmenszweck ausschlaggebend, es galt eine Aktivität als Nebentätigkeit, wenn die ausschliess­lich damit erzielten Einnahmen nicht mehr als 10% des jährlichen Gesamtumsatzes ausmachten (oben E. 3.5). Die Beschwerdeführerin behauptet solches, belegt es aber nicht. Während sich den Akten noch entnehmen lässt, dass im Jahr 2001 die Zinserträge unter der Grenze von 10% lagen, ist dies für das Jahr 2002 bereits nicht mehr nachgewiesen. An sich hätte die Beschwerdeführerin diesen Nachweis erbringen müssen. Da sie dies nicht tat, wäre ihr für die Zeit ab dem 1. Quar­tal 2002 bis und mit 3. Quartal 2004 die Verwendung der 0.02%-Pau­scha­le zu verweigern. Allerdings kann der Beschwerdeführerin aus dieser Unterlassung deshalb kein Nachteil erwachsen, weil die ESTV noch im Einspracheentscheid vom 30. März 2010 ausführte, die Anwendung der per 1. Juli 2005 erfolgten Praxisänderung gelte für sämtliche damals (1. Juli 2005) pendenten und damit auch für das vorliegende Verfahren. Mit anderen Worten war der Nachweis der Einhaltung der 10%-Grenze im Verfahren vor der ESTV gar nicht Prozessthema, weil die ESTV diese Grenze offenbar nicht mehr für beachtlich hielt. Für die Beschwerdeführerin bestand somit kein Anlass, Entsprechendes zu beweisen. Jedoch hat das Bundesverwaltungsgericht (oben E. 3.5 in fine) die Frage der rückwirkenden Anwendbarkeit der hier strittigen 0.02%-Pauschale gerade anders beantwortet als die ESTV dies tut. Ob die Be­schwer­deführerin den Nachweis, die 10%-Grenze sei eingehalten, nicht erbrachte, weil die ESTV die Grenze auch für vor dem 1. Juli 2005 liegende Steuerperioden nicht mehr als relevant erachtete oder deshalb, weil sie den Nachweis nicht erbringen konnte, kann offenbleiben. Der Beschwerdeführerin ist in jedem Fall Gelegenheit zu geben, den Nachweis rechtsgenügend zu erbringen.</w:t>
      </w:r>
    </w:p>
    <w:p>
      <w:r>
        <w:rPr>
          <w:b/>
        </w:rPr>
        <w:t>E. 2.2</w:t>
      </w:r>
    </w:p>
    <w:p>
      <w:r>
        <w:t>Schliesslich will die ESTV mittels einer Berechnung aufzuzeigen, weshalb die Anwendung der 0.02%-Pauschale im vorliegenden Fall nicht «sach­gerecht» sein soll. Für diesen Zweck zog die ESTV das Total der Finanzerträge der Beschwerdeführerin (Fr. 158'784'755.--) heran und multiplizierte dieses mit der 0.02%-Pauschale, woraus ein Betrag von Fr. 31'756.95 resultierte. Diesen Betrag rechnete die ESTV unter Anwendung der damaligen Steuersätze (7.5% respektive 7.6%) auf 100% und damit auf einen mutmasslichen Vorsteuerumsatz hoch (Ergebnis: Fr. 419'481.--). Danach setzte sie den so errechneten mutmasslichen Vor­steuerumsatz ins Verhältnis mit dem Total der ausgenommenen Umsätze (Finanzerträge; Fr. 158'784'755.--). Das so berechnete Verhältnis (mut­masslicher Vorsteuerumsatz geteilt durch Finanzertrag) betrug 0.26%. Analog berechnete die ESTV das Verhältnis zum Aufwand bei den zum Vorsteuerabzug berechtigenden (steuerbaren bzw. steuerbefreiten) Um­sätzen. Sie zog dafür die übrigen Vorsteuerbeträge von Fr. 34'343'161.05 (entsprechend dem gesamten Vorsteuer­betrag von Fr. 34'374'918.-- abzüglich der zuvor für die ausgenommenen Umsätze mit der 0.02%-Pauschale berechneten Vorsteuern von Fr. 31'756.95) heran. Diesen Betrag rechnete die ESTV wiederum unter Anwendung der Steuersätze von 7.5% bzw. 7.6% auf 100% hoch, was einen Vorsteuerumsatz von Fr. 453'041'211.-- ergab. Diese Zahl stellte die ESTV ins Verhältnis mit dem vorsteuerabzugsberechtigenden (steuerbaren bzw. steuerbefreiten) Umsatz in der Höhe von Fr. 1'153'816'690.--. Dies ergab 39.26%. Wie diese Berechnung zeigen soll, dass die Anwendung der 0.02%-Pau­scha­le vorliegend zu keinem sachgerechten Ergebnis führt, bleibt dem Bun­desverwaltungsgericht verborgen. Die vorliegende Berechnung zeigt lediglich, dass im konkreten Fall für den steuerbaren bzw. steuerbefreiten Umsatz verhältnismässig mehr vorsteuerbelasteter Aufwand anfiel als für den steuerausgenommenen Finanzertrag. Aus dieser Aussage den Schluss ziehen zu wollen, die Verwendung der 0.02%-Pauschale führe zu keinem sachgerechten Ergebnis, ist nicht haltbar, denn es ist in keiner Weise erstellt, dass der Grad der Vorsteuerbelastung von ausgenommenen und von steuerbaren bzw. steuerbefreiten Umsätzen in einem ähnlichen Verhältnis stehen müsste. Solches aufzuzeigen unterlässt die ESTV. Sodann ist in keiner Weise dargetan, weshalb die durch die ESTV vorliegend vorgenommene Kürzung um 0.2% - die im Übrigen soweit ersichtlich keiner gängigen Pauschale entspricht - sachgerechter sein soll als eine Kürzung um 0.02%. Der ESTV misslingt der ihr obliegende Nachweis, die von der Beschwerdeführerin verwendete 0.02%-Pauschale führe zu einem nicht sachgerechten Ergebnis. Es bleibt aber zu wiederholen, dass die Beschwerdeführerin für die Zeit vom 1. Quartal 2002 bis 3. Quartal 2004 noch den Nachweis zu erbringen hat, dass die ausgenommene Umsätze (Finanzerträge), 10% des Gesamtumsatzes nicht überstiegen. 3.</w:t>
      </w:r>
    </w:p>
    <w:p>
      <w:r>
        <w:rPr>
          <w:b/>
        </w:rPr>
        <w:t>E. 3.1</w:t>
      </w:r>
    </w:p>
    <w:p>
      <w:r>
        <w:t>Demnach ist die Beschwerde im Sinne der Erwägungen gutzuheis­sen und der Entscheid der ESTV vom 30. März 2010 ist - soweit bestritten - aufzuheben. Die Sache wird zur Neu­be­rech­nung des Vorsteuerabzugs und der ge­schul­deten Mehrwertsteuern im Sinne der Erwägungen an die ESTV zu­rück­ge­wiesen. Bezüglich der Anwendung der 0.02%-Pauschale im 1. Quartal 2002 bis 3. Quartal 2004 hat die ESTV der Beschwerdeführerin Gelegenheit zu geben, den Nachweis der Einhaltung der entsprechenden Bedingungen (10%-Grenze) zu erbringen.</w:t>
      </w:r>
    </w:p>
    <w:p>
      <w:r>
        <w:rPr>
          <w:b/>
        </w:rPr>
        <w:t>E. 3.2</w:t>
      </w:r>
    </w:p>
    <w:p>
      <w:r>
        <w:t>Die Beschwerdeinstanz auferlegt in der Entscheidungsformel die Verfah­renskosten, bestehend aus Spruchgebühr, Schreibgebühren und Baraus­lagen, in der Regel der unterliegenden Partei (Art. 63 Abs. 1 VwVG). Keine Verfahrenskosten werden Vorinstanzen auferlegt (Art. 63 Abs. 2 VwVG). Einer obsiegenden Partei dürfen nur Verfahrenskosten auferlegt werden, die sie durch Verletzung von Verfahrenspflichten verursacht hat (Art. 63 Abs. 3 VwVG in Verbindung mit Art. 4 des Reglements vom 21. Feb­ruar 2008 über die Kosten und Entschädigungen vor dem Bundes­verwaltungsgericht [VGKE, SR 173.320.2]). Eine solche Konstellation liegt vor, wenn die Beschwerdeführerin das Beschwerdeverfahren oder das vorinstanzliche Verfahren durch Verletzung von Mitwirkungspflichten un­nötigerweise verursacht hat, etwa durch verspätetes Vorbringen relevan­ter Beweismittel, die zur Gutheissung der Beschwerde führen (Urteil des Bundesverwaltungsgerichts A 4417/2007 vom 10. März 2010 E. 5.1 mit Hinweisen; MOSER/BEUSCH/KNEUBÜHLER, a.a.O., N 4.52). Genauso verhält es sich hier. Die Beschwerdeführerin hätte die relevanten Beweise betreffend die Verwendung der aufgerechneten Eingangsleis­tungen ohne Weiteres bereits im Verfahren vor der Vorinstanz, jedenfalls aber vor Aufforderung der Vorinstanz zur Vernehmlassung, ins Recht legen können. Mit der pauschalen Aussage, die Beschwerde müsse auch ohne Vorlage schriftlicher Beweise gutgeheissen werden, verkannte die Be­schwerdeführerin ihre Mitwirkungs- und Beweispflichten. Im Rahmen der gesamten Streitsumme betrug die Verweigerung des Vorsteuerabzugs für die aufgerechneten Eingangsleistungen etwa neun Zehntel. Die Ver­fahrenskosten im Umfang von total Fr. 22'000.-- sind daher der Beschwer­deführerin in der Höhe von neun Zehntel und damit im Betrag von Fr. 19'800.-- aufzuerlegen. Dieser Betrag ist mit dem ge­leisteten Kostenvorschuss zu verrechnen. Der Restbetrag von Fr. 2'200.-- ist der Beschwer­deführerin nach Eintritt der Rechtskraft des vorliegenden Urteils zurück­zuerstatten.</w:t>
      </w:r>
    </w:p>
    <w:p>
      <w:r>
        <w:rPr>
          <w:b/>
        </w:rPr>
        <w:t>E. 3.3</w:t>
      </w:r>
    </w:p>
    <w:p>
      <w:r>
        <w:t>Die Beschwerdeinstanz kann der ganz oder teilweise obsiegenden Partei alsdann von Amtes wegen oder auf Begehren eine Entschädigung für ihr erwachsene notwendige und verhältnismässig hohe Kosten zusprechen (Art. 64 Abs. 1 VwVG in Verbindung mit Art. 7 Abs. 1 VGKE). Die Parteientschädigung umfasst die Kosten der Ver­tre­tung sowie allfällige weitere Auslagen der Partei (Art. 8 Abs. 1 VGKE). Die Par­teien, die Anspruch auf Partei­entschä­di­gung erheben, und die amtlich be­stellten Anwälte haben dem Gericht vor dem Ent­scheid eine detaillierte Kostennote einzureichen (Art. 14 Abs. 1 VGKE). Das Gericht setzt die Parteientschädigung und die Ent­schädigung für die amt­lich bestellten Anwälte auf Grund der Kostennote fest. Wird keine Kostennote eingereicht, so setzt das Gericht die Ent­schä­di­gung auf Grund der Akten fest (Art. 14 Abs. 2 VGKE). Der Stun­den­an­satz beträgt für Anwälte mindestens Fr. 200.-- und höchstens Fr. 400.-- (oh­ne Mehrwertsteuer). Par­teikosten gel­ten dann als notwendig, wenn sie zur sachgerechten und wirk­samen Rechts­verfolgung oder Rechts­verteidigung unerlässlich erscheinen (BGE 131 II 200 E. 7.2). Auch im Rahmen der Berechnung der Parteientschädigung ist eine Verletzung von Verfahrenspflichten zu berücksichtigen (statt vieler: Urteil des Bundesverwaltungsgerichts A 1527/2006 vom 6. März 2008 E. 6.2). Die Beschwerdeführerin hat dem Bundesverwaltungsgericht keine Kostennote eingereicht. In An­wendung von Art. 14 Abs. 2 VGKE wird des­halb aufgrund der Akten ent­schieden, zumal angesichts der erwähnten klaren regle­men­ta­rischen Grund­lagen auf eine Aufforderung zur Einreichung einer detaillier­ten Kos­ten­note verzichtet werden muss (Abschreibungsent­scheid des Bun­des­ver­waltungsgerichts A 8524/2007 und A 8526/2007 vom 14. April 2008). Die notwendigen Kosten werden auf Fr. 10'000.-- (Mehr­wert­steuern inbegrif­fen) festgesetzt, wobei da­mit neben dem Streit­wert auch der Wichtigkeit der Streitsache sowie ih­rer Schwierigkeit hin­rei­chend Rech­nung getragen ist. Aufgrund des Verhaltens der Beschwerdeführerin (zu spätes Einreichen der entscheidenden Beweismittel) wird auch hierbei - analog der Verlegung der Verfahrenskosten - eine Kürzung um neun Zehntel vorgenommen. Die ESTV ist daher zu verpflichten, der Be­schwer­deführerin eine Parteientschädigung von insgesamt Fr. 1'000.-- (Mehr­wert­steuern inbegrif­fen) auszurichten.</w:t>
      </w:r>
    </w:p>
    <w:p>
      <w:r>
        <w:rPr>
          <w:b/>
        </w:rPr>
        <w:t>E. 3.4</w:t>
      </w:r>
    </w:p>
    <w:p>
      <w:r>
        <w:t>Gemäss der von der ESTV als gesetzlich bzw. effektiv bezeichneten Methode erfolgt die Kürzung primär nach dem Verhältnis der effektiven Verwendung. Dabei sind zuerst sämtliche Aufwendungen und Investitionen aufgrund ihrer Verwendung entweder den steuerbaren oder den von der Mehrwertsteuer ausgenommenen Tätigkeiten zuzuordnen, wobei für jeden einzelnen Gegenstand und jede Dienstleistung so­weit möglich aufgrund von betriebswirtschaftlichen, sachgerechten Kriterien eine direkte Zuordnung vorzunehmen ist. Soweit eine direkte Zuord­nung zu abzugsberechtigenden und nicht abzugsberechtigenden Umsätzen nicht möglich ist, muss die Zuordnung mit Hilfe von Schlüsseln erfolgen, welche auf betrieblich-objektiven Kriterien beruhen (z.B. Fläche, Vo­lumen, Umsätze, Lohnsumme). Weil die gesetzliche Methode oft als wenig prak­tikabel erscheint bzw. dem Steuerpflichtigen unverhältnismässig hohen Aufwand verursacht, sieht die Praxis der ESTV die Möglichkeit vor, den Vorsteuerabzug anhand von Pauschalmethoden zu kürzen (Art. 47 Abs. 3 aMWSTV; Art. 58 Abs. 3 aMWSTG; zum Ganzen: Urteil des Bundes­ver­wal­tungsgerichts A 1595/2006 vom 2. April 2009 E. 2.7 mit Hin­weisen, be­stätigt mit Urteil des Bundesgerichts 2C_309/2009 vom 1. Feb­ruar 2010; zu den einzelnen Pauschalmethoden vgl. statt vieler: Urteil des Bun­­des­ver­wal­tungs­gerichts A 1394/2006 vom 3. Juni 2008 E. 2.5).</w:t>
      </w:r>
    </w:p>
    <w:p>
      <w:r>
        <w:rPr>
          <w:b/>
        </w:rPr>
        <w:t>E. 3.5</w:t>
      </w:r>
    </w:p>
    <w:p>
      <w:r>
        <w:t>Schliesslich sah bzw. sieht die Praxis der ESTV weitere Vereinfachungen vor, etwa eine Vorsteuerabzugskürzung für die gemischt verwendete Verwaltungsinfrastruktur um pauschal 0.02% der von der Mehrwert­steuer ausgenommenen Umsätze wie Zinseinnahmen und Verkauf von Wertpapieren (Merkblatt Nr. 24 vom 15. Dezember 1995, «Vereinfachungen für die Vorsteuerkorrektur bei von der Steuer ausgenommenen Umsätzen aus Nebentätig­kei­ten», Ziff. 3.2; Merkblatt Nr. 08 vom 1. De­zem­ber 2001, «Kürzung des Vor­steuerabzugs bei gemischter Verwendung», Ziff. 4.3 [Kurzfassung der Spezialbroschüre Nr. 06 vom 1. De­zem­ber 2001]). Die erwähn­te 0.02%-Pauschale konnte vom Steuerpflichtigen bisweilen dann zur Anwendung gebracht werden, wenn die ausgenommenen Umsätze aus einer sog. Nebentätigkeit resul­tierten. · Als Nebentätigkeit galt für vorliegende Zwecke bis am 31. De­zem­ber 2000 im Wesentlichen eine Aktivität, die nicht dem hauptsäch­lichen Geschäfts- bzw. Unternehmenszweck entsprach (erwähntes Merk­blatt Nr. 24, Ziff. 2). · Ab dem 1. Januar 2001 galt eine Akti­vität dann als Nebentätigkeit, wenn die ausschliess­lich mit der Nebentätig­keit erzielten Einnahmen nicht mehr als 10% des jährlichen Gesamtumsatzes betrugen (erwähnte Spezialbroschüre Nr. 06, Ziff. 1.3). · Auf den 1. Juli 2005 hin änderte die ESTV ihre Praxis erneut (vgl. die ab dem 1. Januar 2008 geltende Version der Spezialbro­schüre Nr. 06, Ziff. 1.3.1). Die Verein­fachung mittels 0.02%-Pau­schale wurde nun auch in Fällen zugelassen, in denen sich die Umsätze aus den qualifizierenden Tätigkeiten auf mehr als 10% des jährli­chen Gesamtumsatzes beliefen. Als Vorausset­zungen galt neu nur noch, dass die Anwendung der Pauschale nicht zu einem offen­sicht­li­chen Steuervor- oder -nachteil führt (Urteil des Bun­­des­ver­wal­tungs­gerichts A 1394/2006 vom 3. Juni 2008 E. 2.7.2). Das Bun­des­ver­wal­tungs­gericht lehnte es ab, die eben dargestellten Praxis­änderungen jeweils rückwirkend, d.h. auf vor dem 1. Ja­nuar 2001 bzw. vor dem 1. Juli 2005 eingetretene Sachverhalte, anzu­wenden (Urteil des Bun­desverwaltungsgerichts A 1394/2006 vom 3. Ju­ni 2008 E. 3.2 mit Hin­wie­sen; Moll­ard/Oberson/Tissot Be­ne­det­to, a.a.O., S. 767, N 288).</w:t>
      </w:r>
    </w:p>
    <w:p>
      <w:r>
        <w:rPr>
          <w:b/>
        </w:rPr>
        <w:t>E. 3.6</w:t>
      </w:r>
    </w:p>
    <w:p>
      <w:r>
        <w:t>Festzuhalten bleibt bei alledem, dass es sich bei den dargestellten Pra­xen der ESTV in keiner Art und Weise um für das Bundesverwaltungs­ge­richt verbindliches Recht handelt (vgl. André Moser/Michael Beusch/ Lo­renz Kneubühler, Prozessieren vor dem Bundesverwaltungsgericht, Basel 2008, N 2.173 f.). Verwaltungsverordnungen (Merkblätter, Richtlinien, Kreisschreiben etc.) sind nur, aber immerhin, Meinungsäusserungen der Verwaltung über die Auslegung der anwendbaren Gesetzesbestimmun­gen. Sie dienen der Sicherstellung einer einheitlichen, gleichmässigen und sach­richtigen Praxis des Gesetzesvollzugs (BVGE 2010/33 E. 3.3.1, BVGE 2007/41 E. 4.1;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 Atha­nas [Hrsg.], Kommentar zum Schweizerischen Steuerrecht, Teil I/ Bd. 2b, Bundesgesetz über die direkte Bundessteuer [DBG], 2. Aufl., Basel 2008, Art. 102 N 15 ff.). Die Gerichtsbehörden sollen Verwaltungsverordnungen bei ihrer Entscheidung denn auch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(BGE 126 II 275 E. 4, BGE 123 II 16 E. 7a; BVGE 2010/33 E. 3.3.1, BVGE 2007/41 E. 3.3, Entscheid der Eidgenössischen Steuerrekurskommission [SRK] vom 28. Ju­ni 2005, veröffentlicht in Verwaltungs­praxis der Bundesbehörden [VPB] 69.125 E. 3b mit Hinweisen).</w:t>
      </w:r>
    </w:p>
    <w:p>
      <w:r>
        <w:rPr>
          <w:b/>
        </w:rPr>
        <w:t>E. 3.7</w:t>
      </w:r>
    </w:p>
    <w:p>
      <w:r>
        <w:t>Bietet die ESTV in ihrer publizierten Praxis eine Vereinfachung in Form einer Pauschale an und beruft sich der Steuerpflichtige darauf, sind dabei zudem wie generell beim Verwaltungshandeln die vom Bundes­gericht entwickelten Grundsätze des Vertrauensschutzes zu beachten (zu den entsprechenden Voraussetzungen statt vieler: Urteil des Bundesver­wal­tungs­gerichts A 3198/2009 vom 2. September 2010 E. 2.6 mit Hin­wei­sen). Die ESTV kann deshalb dem Steuerpflichtigen die Anwendung einer von ihr angebotenen Praxis - sofern alle Bedingungen erfüllt sind - grund­sätzlich nicht verweigern. Einzugehen bleibt jedoch auf die Frage, wer den Nach­weis zu erbringen hat, dass die Bedingungen erfüllt sind (nachfolgend E. 4.6).</w:t>
      </w:r>
    </w:p>
    <w:p>
      <w:r>
        <w:rPr>
          <w:b/>
        </w:rPr>
        <w:t>E. 4.1</w:t>
      </w:r>
    </w:p>
    <w:p>
      <w:r>
        <w:t>Die für die Entscheidfindung vorzunehmende Tatsachenfeststellung setzt voraus, dass die Sachlage korrekt und vollständig ermittelt wurde. Das Verwaltungsverfahren und die Verwaltungsrechtspflege werden deshalb von der Untersuchungsmaxime beherrscht (vgl. den neu direkt anwend­baren Art. 12 VwVG [oben E. 1.4]). Die Behörde, die einen Entscheid treffen muss, hat den Sachverhalt von sich aus abzuklären. Sie muss die für das Verfahren notwendigen Sachverhaltsunterlagen beschaffen und die rechtlich relevanten Umstände abklären sowie darüber ordnungs­gemäss Beweis führen. Art. 12 VwVG beinhal­tet gewissermassen eine «behördliche Beweisführungspflicht». Der Unter­suchungs­grund­satz wird allerdings dadurch relativiert, dass den Beteiligten Mit­wir­kungs­pflich­ten auf­erlegt werden. Wo der Untersuchungsgrundsatz en­det und die Mitwirkungspflicht beginnt, lässt sich nicht in allgemeiner Weise festle­gen. Ihr Ver­hältnis ist anhand des anwendbaren Verfahrenser­lasses zu be­stimmen. Hat eine der Untersuchungsmaxime unterworfene Behörde den Sachverhalt nicht von Amtes wegen abgeklärt oder hat sie dies nur unvollständig getan, bildet dies einen Beschwerdegrund nach Art. 49 Bst. b VwVG (BVGE 2009/60 E. 2.1.1 mit Hinweisen).</w:t>
      </w:r>
    </w:p>
    <w:p>
      <w:r>
        <w:rPr>
          <w:b/>
        </w:rPr>
        <w:t>E. 4.2</w:t>
      </w:r>
    </w:p>
    <w:p>
      <w:r>
        <w:t>Der Untersuchungsgrundsatz gilt auch im Steuerrecht. Im Sinne eines Vorbehalts aber nahm Art. 2 Abs. 1 VwVG die Steuerverfahren ins­besondere vom Anwendungsbereich von Art. 12 VwVG aus (oben E. 1.4).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über das Ver­waltungsverfahren, BBl 1965 II 1361; Peter Saladin, Das Verwaltungs­verfahrensrecht des Bundes, Basel 1979, N 9.311). Diesbezüglich ist zu beachten, dass im Mehrwertsteuerrecht das Selbstveranlagungsprinzip gilt (zum Ganzen: BVGE 2009/60 E. 2.1.2 mit Hinweisen).</w:t>
      </w:r>
    </w:p>
    <w:p>
      <w:r>
        <w:rPr>
          <w:b/>
        </w:rPr>
        <w:t>E. 4.3</w:t>
      </w:r>
    </w:p>
    <w:p>
      <w:r>
        <w:t>Wie sich allfällige Zweifel nach abgeschlossener Sach­ver­halts­er­mittlung auf den Entscheid der Behörde auswirken, wird weder im VwVG noch im Mehrwertsteuerrecht geregelt. Für die (materielle) Beweislast ist des­halb auf Art. 8 des Schweizerischen Zivilgesetzbuchs vom 10. De­zem­ber 1907 (ZGB, SR 210) zurückzugreifen. Gemäss dem darin veranker­ten Rechtsprinzip trägt derjenige den Nachteil der «Nichtnachweislichkeit» einer Tatsache, der aus ihr Rechte ableiten wollte (BVGE 2009/60 E. 2.1.3 mit Hinweisen). Im Steuerrecht gilt damit, dass die Steuerbe­hör­de für die steu­erbegründenden und -mehrenden Tatsachen den Nach­weis zu er­brin­gen hat, während dem Steuerpflichtigen der Nachweis jener Tatsachen obliegt, welche die Steuerschuld mindern oder aufheben (Urteil des Bundesgerichts 2A.642/2004 vom 14. Juli 2005, veröffentlicht in ASA 75 S. 495 ff. E. 5.4; statt vieler: BVGE 2009/60 E. 2.1.3 mit Hinweisen; Entscheid der SRK vom 8. Juni 2006, veröffentlicht in VPB 70.85 E. 2e; Ernst Blumenstein/Peter Locher, System des schweizerischen Steuer­rechts, 6. Aufl., Zürich 2002, S. 454).</w:t>
      </w:r>
    </w:p>
    <w:p>
      <w:r>
        <w:rPr>
          <w:b/>
        </w:rPr>
        <w:t>E. 4.4</w:t>
      </w:r>
    </w:p>
    <w:p>
      <w:r>
        <w:t>Der Grundsatz, dass die Steuerbehörde steuerbegründende oder steuer­erhöhende und der Steuerpflichtige steuermindernde oder steuerauf­hebende Tat­sachen zu beweisen hat, bedeutet auch, dass der Steuer­pflichtige in aller Regel die Folgen nicht bewie­sener Vorsteuern trägt (zu den Anforderungen an den Vorsteuernachweis statt vieler: Urteil des Bundesverwaltungs­gerichts A 1546/2006 vom 30. April 2008 E. 2.6, be­stätigt mit Urteil des Bundesgerichts 2C_430/2008 vom 18. Februar 2009 E. 3.3). Ebenso trägt der Steuerpflichtige die Beweislast bezüglich des Nachweises, dass die vorsteuerbelasteten Eingangsleistungen für steuerbare Ausgangsumsätze verwendet wurden (Ur­teil des Bundesverwal­tungs­gerichts A 1373/2006 vom 16. No­vem­ber 2007 E. 3.1 mit Hinweis auf das Urteil des Bundesgerichts 2A.406/2002 vom 31. März 2003 E. 3.4). An diesen Nachweis stellt die Rechtsprechung allerdings keine hohen Anfor­de­rungen. So ist nicht zwingend, dass der Steuerpflichtige schriftliche Beweise vorlegt, was im Übrigen in vielen Fällen ohnehin nicht möglich ist, da kaum für jede vorsteuerbelastete Eingangsleistung schriftlich dokumentiert werden kann, wie und in welchem Umfang sie in einen steuerbaren, ausgenommen oder befreiten Umsatz oder in einen Nichtumsatz geflossen ist.</w:t>
      </w:r>
    </w:p>
    <w:p>
      <w:r>
        <w:rPr>
          <w:b/>
        </w:rPr>
        <w:t>E. 4.5</w:t>
      </w:r>
    </w:p>
    <w:p>
      <w:r>
        <w:t>So war im Urteil des Bundesverwaltungsgerichts A 1357/2006 vom 27. Ju­ni 2007 E. 3.3 die Zuweisung von Werbeaufwand strittig. Die ESTV erachtete diesen zumindest teilweise «als nicht geschäftsmässig begründet», da die fraglichen Inserate politische Stellungnahmen beinhalteten und nach Ansicht der ESTV nicht als Werbung für die steuerbare Geschäftstätigkeit des Steuerpflichtigen dienten. Das Bundesverwaltungsgericht setzte sich im erwähnten Fall mit den vorsteuerbelasteten Eingangsleistungen einzeln auseinander und wog ab, ob sie einer steuerbaren Tätigkeit zuzuschreiben waren oder nicht. Schrift­liche Beweise wurden dabei - abgesehen von den Vorsteuerbelegen - keine verlangt. Dennoch kann der Nachweis, dass zwischen Eingangs- und Ausgangsleistung ein Zusammenhang besteht, wohl regelmässig nur gelingen, wenn Art und Umfang der Eingangs- wie auch der Ausgangs­leistung mindestens ansatzweise bekannt und dokumentiert sind. In­sofern wirken sich die hohen Anforderungen, die das Mehrwertsteuerrecht an den Nachweis der Vorsteuern stellt, indirekt eben doch auf den Nachweis der Verwen­dung aus.</w:t>
      </w:r>
    </w:p>
    <w:p>
      <w:r>
        <w:rPr>
          <w:b/>
        </w:rPr>
        <w:t>E. 4.6</w:t>
      </w:r>
    </w:p>
    <w:p>
      <w:r>
        <w:t>Im Zusammenhang mit der Verteilung der Beweislast bleibt zu klären, wer - der Steuerpflichtige oder die ESTV - den Nachweis erbringen muss, dass die Voraussetzungen für die Verwendung einer von der ESTV an­gebotenen Pauschale erfüllt sind. Das Kriterium zur Bestimmung, wer be­weisbelastet ist, bildet auch hier die Frage, wer aus der behaupteten Tat­sache Rechte ableiten will. In erster Linie ist es der Beschwerdeführer, der sich mittels Pau­schale einen Teil des administrativen Aufwands er­sparen kann. Gleich­zeitig ändert die Verwendung der Pauschale nichts an seiner Pflicht, ordnungsgemäss Buch zu führen (Art. 47 aMWSTV; Art. 58 aMWSTG). Schliesslich hat die Rechtsprechung festge­hal­ten, dass die ESTV berechtigt ist, an die Anwendung von Pau­scha­len gewisse Bedingun­gen zu stellen. Aufgrund dessen obliegt der Nach­weis, dass die Bedin­gun­gen für die Anwendung einer von der ESTV angebotenen Pauscha­le erfüllt sind, regelmässig dem Steu­er­pflichtigen.</w:t>
      </w:r>
    </w:p>
    <w:p>
      <w:r>
        <w:rPr>
          <w:b/>
        </w:rPr>
        <w:t>E. 4.7</w:t>
      </w:r>
    </w:p>
    <w:p>
      <w:r>
        <w:t>Gleich entschied das Bundesverwaltungsgericht im Übrigen in BVGE 2007/25. Es kam im konkreten Fall zum Schluss, der Nach­weis, die sog. «2'000/5'000 km-Praxis» könne angewendet werden, habe der Steuerpflichtige zu erbringen. Bei der erwähnten Praxis ging es um die Abgrenzung, ob gebrauchte Motorfahrzeuge noch «als zum Verkauf bezogen» galten und damit zur Anwendung der Margenbesteuerung berech­tigten (erwähntes Urteil E. 2.3.2). Auf Grund der Tatsache, dass der Betroffene die Einhaltung der von der ESTV festgelegten Gren­ze von 2'000 bzw. 5'000 km nicht «auf irgend eine Weise» belegen konnte, wurde ihm die Anwendung der Praxis verweigert (erwähntes Urteil E. 7.2.2 in fine).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