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A-3409/2007 vom 29. November 2007</w:t>
      </w:r>
    </w:p>
    <w:p>
      <w:r>
        <w:t>Bundesverwaltungsgericht, 2007-11-29, DE</w:t>
      </w:r>
    </w:p>
    <w:p>
      <w:r>
        <w:rPr>
          <w:b/>
        </w:rPr>
        <w:t xml:space="preserve">Quelle: </w:t>
      </w:r>
      <w:r>
        <w:t>https://mcp.opencaselaw.ch/entscheid/bvger_A-3409_2007</w:t>
      </w:r>
    </w:p>
    <w:p>
      <w:r>
        <w:t>FR: TAF A-3409/2007 du 29 novembre 2007</w:t>
      </w:r>
    </w:p>
    <w:p>
      <w:r>
        <w:t>IT: TAF A-3409/2007 del 29 novembre 2007</w:t>
      </w:r>
    </w:p>
    <w:p>
      <w:pPr>
        <w:pStyle w:val="Heading2"/>
      </w:pPr>
      <w:r>
        <w:t>Regeste</w:t>
      </w:r>
    </w:p>
    <w:p>
      <w:r>
        <w:t>Schwerverkehrsabgabe</w:t>
      </w:r>
    </w:p>
    <w:p>
      <w:pPr>
        <w:pStyle w:val="Heading2"/>
      </w:pPr>
      <w:r>
        <w:t>Erwägungen</w:t>
      </w:r>
    </w:p>
    <w:p>
      <w:r>
        <w:rPr>
          <w:b/>
        </w:rPr>
        <w:t>E. 1</w:t>
      </w:r>
    </w:p>
    <w:p>
      <w:r>
        <w:t>Das Bundesverwaltungsgericht ist zur Behandlung der Beschwerde sachlich wie funktionell zuständig (Art. 31 und 33 Bst. e des Verwaltungsgerichtsgesetzes vom 17. Juni 2005 [VGG, SR 173.32] in Verbindung mit Art. 23 Abs. 3 des Bundesgesetzes vom 19. Dezember 1997 über eine leistungsabhängige Schwerverkehrsabgabe [SVAG, SR 641.81]). Die Beschwerdeführerin hat den Einspracheentscheid der OZD vom 24. April 2007 mit der Eingabe vom 15. Mai 2007 frist- und formgerecht angefochten (Art. 50 und 52 des Bundesgesetzes vom 20. Dezember 1968 über das Verwaltungsverfahren [VwVG, SR 172.021]). Sie ist durch die angefochtene Verfügung beschwert und zur Anfechtung berechtigt (Art. 48 VwVG). Auf die Beschwerde ist daher einzutreten.</w:t>
      </w:r>
    </w:p>
    <w:p>
      <w:r>
        <w:rPr>
          <w:b/>
        </w:rPr>
        <w:t>E. 2.1</w:t>
      </w:r>
    </w:p>
    <w:p>
      <w:r>
        <w:t>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leistungsabhängige Schwerverkehrsabgabe wird für die Benützung der öffentlichen Strassen erhoben (Art. 2 SVAG); sie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Die abgabepflichtige Person hat bei der Ermittlung der Fahrleistung mitzuwirken. Der Bundesrat kann den Einbau spezieller Geräte oder andere Hilfsmittel zur fälschungssicheren Erfassung der Fahrleistung vorschreiben (Art. 11 Abs. 1 und 2 SVAG).</w:t>
      </w:r>
    </w:p>
    <w:p>
      <w:r>
        <w:rPr>
          <w:b/>
        </w:rPr>
        <w:t>E. 2.2</w:t>
      </w:r>
    </w:p>
    <w:p>
      <w:r>
        <w:t>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der Verordnung vom 6. März 2000 über eine leistungsabhängige Schwerverkehrsabgabe [Schwerverkehrsabgabeverordnung, SVAV, SR 641.811]). Der Halter muss dafür sorgen, dass das Messgerät dauernd funktionstüchtig ist. Bei einem Defekt oder Ausfall ist das Gerät unverzüglich von einer Abnahmestelle reparieren oder ersetzen zu lassen. Bei Verdacht auf Gerätefehler ist das Gerät von einer Abnahmestelle auf Funktionstüchtigkeit kontrollieren zu lassen (Art. 18 Abs. 1-3 SVAV). Nebst dem Erfassungsgerät muss der Fahrzeugführer stets auch ein Aufzeichnungsformular mitführen, das bei Ausfall oder bei Fehlfunktionen bzw. Fehlermeldungen des Messgeräts zu verwenden ist (Art. 19 Abs. 1 SVAV). Der Fahrzeugführer muss bei der korrekten Ermittlung der Fahrleistung mitwirken. Der Abgabepflichtige hat der Zollverwaltung die für die Berechnung der Abgabe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 Nach dem Gesagten unterliegt der Abgabepflichtige dem Selbstdeklarationsprinzip; dies bedeutet, dass das Gesetz dem Abgabepflichtigen die volle Verantwortung für die korrekte Deklaration überbindet und hohe Anforderungen an seine Sorgfaltspflicht stellt (Urteil des Bundesverwaltungsgerichts A-1717/2006 vom 28. Februar 2007 E. 2.2; Entscheide der Zollrekurskommission [ZRK] vom 27. August 2004, veröffentlicht in Verwaltungspraxis der Bundesbehörden [VPB] 69.19 E. 2b und 3b, vom 29. April 2002, veröffentlicht in Archiv für Schweizerisches Abgaberecht [ASA] 72 S. 496, vom 7. September 2001, veröffentlicht in ASA 71 S. 77).</w:t>
      </w:r>
    </w:p>
    <w:p>
      <w:r>
        <w:rPr>
          <w:b/>
        </w:rPr>
        <w:t>E. 2.3</w:t>
      </w:r>
    </w:p>
    <w:p>
      <w:r>
        <w:t>Das Strassenverkehrsgesetz vom 19. Dezember 1958 (SVG, SR 741.01) ordnet umfassend den Verkehr auf öffentlichen Strassen, das heisst auf "Strassen, die nicht ausschliesslich privatem Gebrauch dienen" (Art. 1 Abs. 2 der Verkehrsregelnverordnung vom 13. November 1962 [VRV], SR 741.11; Gutachten des Bundesamtes für Justiz vom 5. August 1997, veröffentlicht in VPB 62.51 E. 2). Der Geltungsbereich der Abgabe für die Benützung der öffentlichen Strassen gemäss Art. 2 SVAG stimmt mit demjenigen des Art. 1 Abs. 1 SVG überein (Botschaft des Bundesrats zu einem Bundesgesetz über die leistungsabhängige Schwerverkehrsabgabe vom 11. September 1996, BBl 1996 V 521, 546).</w:t>
      </w:r>
    </w:p>
    <w:p>
      <w:r>
        <w:rPr>
          <w:b/>
        </w:rPr>
        <w:t>E. 2.4</w:t>
      </w:r>
    </w:p>
    <w:p>
      <w:r>
        <w:t>Die Abgabeforderung verjährt innerhalb von fünf Jahren nach Ablauf des Kalenderjahres, in dem sie fällig geworden ist (Art. 15 Abs. 1 SVAG). Die Verjährung wird durch jede Handlung, mit denen die Forderung in geeigneter Weise beim Schuldner geltend gemacht wird, durch die zuständige Behörde unterbrochen (Art. 15 Abs. 3 SVAG; Ulrich Häfelin/Georg Müller/Felix Uhlmann, Allgemeines Verwaltungsrecht, 5. Aufl., Zürich/Basel/Genf 2006, Rz. 777).</w:t>
      </w:r>
    </w:p>
    <w:p>
      <w:r>
        <w:rPr>
          <w:b/>
        </w:rPr>
        <w:t>E. 3.1</w:t>
      </w:r>
    </w:p>
    <w:p>
      <w:r>
        <w:t>Im vorliegenden Fall umfassen die Nachforderungen den noch nicht abgerechneten Zeitraum vom 26. April 2002 (betreffend Kontrollschild ..., Stammnummer ...) bis zum 30. November 2005 (betreffend Kontrollschild ..., Stammnummer ...). Die fünfjährige Verjährungsfrist bezüglich der im Jahr 2002 entstandenen, frühesten Nachforderungen begann am 1. Januar 2003 zu laufen und endet am 31. Dezember 2007. Am 17. Juli 2006 hat die OZD den Lauf der Verjährung durch eine Einforderungshandlung unterbrochen, indem sie die Beschwerdeführerin aufgefordert hat, ihr Stellungnahmen zur Abklärung der Fahrleistung aller fraglichen Fahrzeuge zukommen zu lassen. Selbst wenn diese erste Kontaktnahme der OZD nicht als Handlung zur Verjährungsunterbrechung betrachtet würde, ist die Verjährung spätestens durch die Nachforderungsverfügungen der OZD vom 30. Januar bzw. 20. Februar 2007 rechtsgültig unterbrochen worden. Die Nachforderungen sind damit nicht verjährt.</w:t>
      </w:r>
    </w:p>
    <w:p>
      <w:r>
        <w:rPr>
          <w:b/>
        </w:rPr>
        <w:t>E. 3.2</w:t>
      </w:r>
    </w:p>
    <w:p>
      <w:r>
        <w:t>Es ist erstellt, dass die Beschwerdeführerin im fraglichen Zeitraum vom 26. April 2002 bis zum 30. November 2005 ihre Fahrzeuge, die nach Art. 3 Abs. 1 SVAG der Schwerverkehrsabgabe unterliegen, auch während der Dauer der Kontrollschild-Deponierung für Kiestransporte eingesetzt und zu diesem Zweck jeweils von Zeit zu Zeit einen Ersatz-Fahrzeugausweis beschafft hat. Aufgrund der im Fahrzeug installierten Erfassungsgeräte hat die OZD für jedes einzelne der vier Fahrzeuge der Beschwerdeführerin mit den Stammnummern ..., ..., ... und ... die individuellen Fahrleistungen errechnet (Ausdrucke der Logfiles der Fahrzeuge, Beilagen Nr. 14, 15, 17 und 18 der Vernehmlassung der OZD). Erwiesen ist auch, dass das Fahrzeug mit der Stammnummer ... während der Kontrollschild-Deponierung Ein- und Ausfahrten über die Zollämter A._______ und B._______ und das Fahrzeug mit der Stammnummer ... Ein- und Ausfahrten über das Zollamt B._______ verzeichnete (Beilage 16 der Vernehmlassung der OZD). Ohne jeden Zweifel haben diese Fahrzeuge öffentliche Strassen im Sinn des Art. 1 Abs. 1 SVG befahren und unterliegen dafür der Schwerverkehrsabgabe. Der OZD ist ausserdem beizupflichten, wenn sie es als schwer verständlich ansieht, dass - wie die Beschwerdeführerin argumentiert - in einer privaten Kiesgrube für den Transport mehrfach Anhänger eingesetzt worden sein sollen (vgl. Fahrzeug mit der Stammnummer ...). Die Beschwerdeführerin konnte trotz ihrer Selbstdeklarationspflicht nicht widerlegen, dass dieser Anhänger auf öffentlichen Strassen eingesetzt worden ist. Mit der OZD ist sodann zu vermerken, dass die ausgewiesenen Fahr-kilometer aller dieser Fahrzeuge schwerlich in einer privaten Kiesgrube angefallen sein können, selbst wenn anerkannt wird, dass an einzelnen Tagen die Fahrleistungen sehr gering waren. So wurden Tagesleistungen von mehr als 100 Kilometern am 29. April, 13., 23. und 24. Mai, am 17. und 21. Juni, am 12. Juli 2002, am 11. und 24. März, am 16. Dezember 2003 und am 11. Juli 2005 gemessen. Am 25. November 2002, am 19. und 25. Februar, 29. September und 1. Oktober 2003 wurden Tagesleistungen von mehr als 200 Kilometern erbracht und am 17. Oktober 2005 gar eine Tagesleistung von 352 Kilometern verzeichnet. Die Beschwerdeführerin ist den Nachweis schuldig geblieben, dass diese Kilometer nicht auf öffentlichen Strassen gefahren wurden, selbst wenn erwiesen wäre, dass die Kiesgruben nicht öffentliche Strassen im Sinn des Art. 1 Abs. 1 SVG sind. Unter diesen Umständen kann auch ohne weiteres auf den allenfalls sinngemäss beantragten Augenschein (Besichtigung des Kiesdepots) verzichtet werden. Die Beschwerdeführerin ist auf Grund ihrer Pflichten nach dem Selbstdeklarationsprinzip (E. 2.2) gehalten, während der gesamten Dauer der Verjährungsfrist alle Unterlagen auszubewahren, die der korrekten Veranlagung - und insbesondere dem Nachweis der Abgabenbefreiung - dienen. Wenn sie diese Unterlagen vorzeitig entsorgt hat und damit die behauptete Abgabenbefreiung nicht mehr nachzuweisen in der Lage ist, hat sie sich dies aufgrund der Verletzung ihrer Sorgfaltspflichten, an die hohe Anforderungen gestellt werden, selbst zuzuschreiben. Insgesamt ist der Beschwerdeführerin der Nachweis nicht gelungen, dass sie die fraglichen Fahrleistungen ausschliesslich auf nicht öffentlichen Strassen in ihren privaten Kiesgruben erbracht hat. Die Abgabepflichtige hat daher für die verzeichneten Kilometer die leistungsabhängige Schwerverkehrsabgabe zu entrichten.</w:t>
      </w:r>
    </w:p>
    <w:p>
      <w:r>
        <w:rPr>
          <w:b/>
        </w:rPr>
        <w:t>E. 4</w:t>
      </w:r>
    </w:p>
    <w:p>
      <w:r>
        <w:t>Nach dem Gesagten ist die Beschwerde abzuweisen und der Einspracheentscheid der OZD vom 24. April 2007 zu bestätigen. Die Verfahrenskosten in der Höhe von Fr. ... werden der Beschwerdeführerin auferlegt (Art. 63 Abs. 1 VwVG) und mit dem Kostenvorschuss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