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A-3347/2020 vom 1. Dezember 2022</w:t>
      </w:r>
    </w:p>
    <w:p>
      <w:r>
        <w:t>Bundesverwaltungsgericht, 2022-12-01, IT</w:t>
      </w:r>
    </w:p>
    <w:p>
      <w:r>
        <w:rPr>
          <w:b/>
        </w:rPr>
        <w:t xml:space="preserve">Quelle: </w:t>
      </w:r>
      <w:r>
        <w:t>https://mcp.opencaselaw.ch/entscheid/bvger_A-3347_2020</w:t>
      </w:r>
    </w:p>
    <w:p>
      <w:r>
        <w:t>FR: TAF A-3347/2020 du 1 décembre 2022</w:t>
      </w:r>
    </w:p>
    <w:p>
      <w:r>
        <w:t>IT: TAF A-3347/2020 del 1 dicembre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 giugno 2020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 /C._______);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 /C._______,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 /C._______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 /C._______,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censura innanzitutto l'illeceità della documentazione prodotta dall'Agenzia delle Entrate a fondamento della domanda raggruppata italiana di assistenza amministrativa del 23 novembre 2018. Infatti a mente dell'insorgente vi sarebbero dubbi circa l'ottenimento lecito da parte dell'autorità italiana della missiva 3 febbraio 2014 (cfr. atto n. 02, allegato 1, dell'incarto prodotto dall'autorità inferiore su chiave USB [di seguito: inc. AFC]) posta a fondamento della richiesta raggruppata. Tale missiva - il cui contenuto e veridicità vengono anche contestati - non esisterebbe infatti in tale forma, essendo la stessa un documento destinato al solo uso interno. Nemmeno vi sarebbe altro scritto con contenuto analogo - ma di data posteriore - che sarebbe stato inviato ai clienti della banca. In tal senso il ricorrente non comprenderebbe come l'autorità estera possa essere entrata in possesso lecitamente di tale scritto (cfr. ricorso 26 giugno 2020, pagg. 4-5). Agli atti non vi sarebbe poi la prova che la banca abbia effettivamente inviato uno scritto ai propri clienti nel quale annunciava loro la chiusura forzata del conto/conti bancario salvo che questi avessero fornito a B._______, ora C._______, istituto di credito, l'autorizzazione del modello «direttiva Risparmio UE per la collaborazione volontaria (Voluntary Disclosure)» o ogni altra prova del rispetto delle proprie obbligazioni fiscali relative a tale conto/conti. Ciò non sarebbe in particolare il caso per quanto concerne lo scritto 20 febbraio 2015, il quale avrebbe unicamente carattere informativo e non inviterebbe i suoi destinatari a intraprendere attività alcuna. Dalla ricezione dello scritto 20 febbraio 2015 non si potrebbe quindi dedurre che il suo destinatario non adempia ai propri obblighi fiscali nel paese richiedente (cfr. ricorso 26 giugno 2020, pagg. 7-10). Il ricorrente censura poi l'illiceità della richiesta raggruppata italiana, affermando come la stessa costituirebbe una «fishing expedition». Infatti la lettera 3 febbraio 2014 non sarebbe documento esistente, di riflesso non sarebbe mai stata inviata ai clienti della banca. La lettera 20 febbraio 2015 - della cui non vi sarebbe prova dell'invio agli atti - non prospetterebbe - così come quella 3 febbraio 2014 - quale conseguenza della mancata prova della regolarità fiscale la chiusura forzata della relazione bancaria. La richiesta raggruppata non sarebbe sufficientemente dettagliata e motivata, non raggiungendo di conseguenza la stessa la soglia della verosimiglianza necessaria (cfr. ricorso 26 giugno 2020, pagg. 7-10). Vi sarebbe poi la violazione del principio della buona fede e di quello di reciprocità, essendo la domanda di assistenza amministrativa italiana fondata su documenti di dubbia provenienza e meglio ottenuti illecitamente. Lo stato richiedente avrebbe anche violato il principio di sussidiarietà e principi generali di procedura, non avendo esperito tutti i mezzi interni di indagine - ovvero le fonti abituali previste dal diritto interno - per evadere in maniera autonoma la propria richiesta di assistenza amministrativa (cfr. ricorso 26 giugno 2020, pagg. 11-12). Infine l'insorgente sostiene che l'AFC avrebbe - nella richiesta indirizzata a B._______ di produrre i dati relativi ai soggetti interessati dalla richiesta raggruppata - ampliato e modificato in maniera sostanziale e inammissibile l'applicazione di quanto originariamente domandato dall'autorità fiscale italiana. L'AFC avrebbe infatti richiesto a B._______ di produrre i dati relativi ai clienti che avessero ricevuto lo scritto 3 febbraio 2014 (cfr. atto n. 02, allegato 1, inc. AFC) o similare. Tale formulazione sarebbe inammissibile in quanto lascerebbe - a dire del ricorrente - margine di apprezzamento per il destinatario, sicché i dati - a oggi - in possesso dell'autorità inferiore non corrisponderebbero a quanto richiesto originariamente dall'autorità estera (cfr. ricorso 26 giugno 2020, pagg. 5-7).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esso sostiene - contrariamente a quanto stabilito dal Tribunale federale - che la domanda non sia conforme alle diverse disposizioni applicabili e più precisamente alla CDI CH-IT. In merito alla censura del ricorrente circa il modo di agire dell'AFC, si rileva come l'Alta Corte non abbia eccepito alcunché nella sentenza di principio circa tale aspetto. L'agire dell'autorità inferiore è stato infatti ritenuto - nel suo insieme - conforme alle norme e principi applicabili al caso. A ciò si aggiunge che - come già esposto in precedenza - l'AFC dispone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 sicché l'autorità inferiore ha quindi agito nel limite dei poteri a essa conferiti. Con particolare riferimento alla censura circa la violazione del principio di reciprocità si rileva che - come anche sopra esposto - la domanda raggruppata italiana di assistenza amministrativa del 23 novembre 2018 è stata considerata materialmente ammissibile dal Tribunale federale. In tal occasione l'Alta Corte ha chiaramente sancito come la predetta domanda raggruppata sia conforme al principio della buona fede e come agli atti non vi siano indizio circa la provenienza illecita dei documenti posti a fondamento della domanda di assistenza. In tal senso, il Tribunale federale ha confermato che la suddetta domanda raggruppata è conforme al principio della buona fede e quindi - di riflesso - anche al principio di reciprocità. Anche tali censure vanno pertanto respinte.</w:t>
      </w:r>
    </w:p>
    <w:p>
      <w:r>
        <w:rPr>
          <w:b/>
        </w:rPr>
        <w:t>E. 5</w:t>
      </w:r>
    </w:p>
    <w:p>
      <w:r>
        <w:t>Constatata l'ammissibilità della domanda raggruppata italiana di assistenza amministrativa del 23 novembre 2018, occorre ancora stabilire se il ricorrente rientri o meno nel modello di comportamento (lecitamente) ivi descritto dall'autorità richiedente italiana. Ora nel suo gravame il ricorrente censura il fatto che agli atti non vi sarebbe la prova concreta circa il fatto che la banca gli abbia effettivamente trasmesso una delle due sopracitate lettere - più precisamente, quella datata 3 febbraio 2014 e quella datata 20 febbraio 2015 - e che questo abbia ricevuto e preso visione di uno di tali scritti (cfr. ricorso 26 giugno 2020, pagg. 10-11). A tal proposito, lo scrivente Tribunale rileva come da un esame degli atti dell'incarto - e meglio dalla documentazione fornita dalla banca B._______ /C._______ (cfr. atto n. 18.2, inc. AFC) - risulti che durante il periodo interessato dalla predetta domanda raggruppata, il ricorrente era titolare di un conto bancario presso la banca B._______/C._______. È poi incontestato ch'esso abbia ricevuto la lettera 20 febbraio 2015 della predetta banca. Dalla documentazione bancaria si evince infatti chiaramente che il ricorrente ha dato ordine alla banca di trattenere la corrispondenza e che - come risulta anche dalla nota interna (cfr. atto n. 18.2, pagg. 6) - al momento della chiusura della relazione bancaria, rispettivamente della ricezione del decreto di edizione del 29 marzo 2019 da parte dell'AFC, era passato almeno un anno dalla consegna dello scritto via fermo banca. Ora, come già esposto al consid. 4.2.1.2 del presente giudizio, si rileva come l'Alta Corte abbia sancito che nel caso di un « fermo banca » si può partire dal presupposto che un cliente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 In tali circostanze,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w:t>
      </w:r>
    </w:p>
    <w:p>
      <w:r>
        <w:rPr>
          <w:b/>
        </w:rPr>
        <w:t>E. 6</w:t>
      </w:r>
    </w:p>
    <w:p>
      <w:r>
        <w:t>Appurata l'ammissibilità della domanda raggruppata italiana di assistenza amministrativa del 23 novembre 2018 e stabilito come il ricorrente rientri nel modello di comportamento (lecitamente) ivi descritto dall'autorità richiedente italiana, qui di seguito lo scrivente Tribunale prenderà posizione singolarmente sulle restanti censure ricorsuali.</w:t>
      </w:r>
    </w:p>
    <w:p>
      <w:r>
        <w:rPr>
          <w:b/>
        </w:rPr>
        <w:t>E. 6.1</w:t>
      </w:r>
    </w:p>
    <w:p>
      <w:r>
        <w:t>Innanzitutto a mente del ricorrente l'AFC avrebbe affermato che dalla lettera 3 febbraio 2014 si evincerebbe che vi sarebbe stata da parte della banca una richiesta alla clientela di comprovare la propria conformità fiscale e che a seguito del mancato riscontro di tale richiesta, ai clienti sarebbe stata inviata la missiva 3 febbraio 2014. Secondo il ricorrente tale tesi non sarebbe mai stata sostenuta dall'autorità italiana, sicché la stessa sarebbe frutto di un'interpretazione arbitraria e illecita dell'AFC (cfr. ricorso 26 giugno 2020, pag. 8).</w:t>
      </w:r>
    </w:p>
    <w:p>
      <w:r>
        <w:rPr>
          <w:b/>
        </w:rPr>
        <w:t>E. 6.1.1</w:t>
      </w:r>
    </w:p>
    <w:p>
      <w:r>
        <w:t>Per costante giurisprudenza l'accertamento dei fatti, rispettivamente l'apprezzamento delle prove, viola il divieto d'arbitrio qualora l'autorità abbia manifestamente travisato il senso e la portata di un mezzo di prova, abbia trascurato di considerare, senza una ragione oggettiva, un mezzo di prova rilevante e importante per l'esito della causa o abbia tratto dai fatti accertati delle conclusioni insostenibili (DTF 143 IV 500 consid. 1.1). Nell'accertamento dei fatti e nella valutazione delle prove, il giudice dispone di un ampio potere di apprezzamento (DTF 129 I 8 consid. 2.1; 118 Ia 28 consid. 1b; sentenza del TF 6P.218/2006 del 30 marzo 2007,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w:t>
      </w:r>
    </w:p>
    <w:p>
      <w:r>
        <w:rPr>
          <w:b/>
        </w:rPr>
        <w:t>E. 6.1.2</w:t>
      </w:r>
    </w:p>
    <w:p>
      <w:r>
        <w:t>Da un'analisi della missiva 3 febbraio 2014 (cfr. atto n. 02, allegato 1, inc. AFC) si evince in maniera chiara come le disposizioni per la clientela con residenza fiscale in Italia avessero «validità immediata» al 3 febbraio 2014. Appare anche evidente come sotto la voce «prelevamenti in contanti» si facesse riferimento alla prova della conformità fiscale, distinguendo chiaramente la clientela che avesse già - al 3 febbraio 2014 - fatto prova della propria regolarità fiscale nel paese richiedente, quella che non l'avesse ancora fatto ma che avesse comunque dimostrato di aver iniziato il processo di regolarizzazione e quella che invece non avesse apporto prova alcuna. In tal senso, pur potendo lo scrivente Tribunale lasciare qui aperta tale questione, non si può escludere - e nemmeno sostenere che l'apprezzamento dell'autorità inferiore sia arbitrario o insostenibile - che quanto indicato dall'AFC nella propria decisione sia corretto. È infatti verosimile - seppur non indicato espressamente dall'Agenzia delle Entrate nella richiesta raggruppata - che prima della missiva 3 febbraio 2014 sia giunto un altro scritto - o più di uno - ai clienti della banca nel quale veniva loro richiesto di comprovare la loro regolarità fiscale nel paese richiedente. In tal senso si comprenderebbe la «validità immediata» delle disposizioni al giorno 3 febbraio 2014, così come le differenti limitazioni adattate in funzione dell'avvenuta/mancata dimostrazione di tale regolarità. Lo scrivente Tribunale considera quindi che l'AFC sia rimasta nei limiti del proprio potere d'apprezzamento, non avendo la stessa ecceduto arbitrariamente in tale prerogativa a essa concessa. Visto quanto precede, detta censura va pertanto respinta</w:t>
      </w:r>
    </w:p>
    <w:p>
      <w:r>
        <w:rPr>
          <w:b/>
        </w:rPr>
        <w:t>E. 6.2</w:t>
      </w:r>
    </w:p>
    <w:p>
      <w:r>
        <w:t>Secondo l'insorgente l'AFC avrebbe poi indicato nella propria decisione come l'Agenzia delle Entrate avrebbe eseguito un'analisi secondo la quale un numero considerevole di contribuenti italiani avrebbe partecipato alla VDP (Voluntary Discolosure Program) al fine di regolarizzare la propria posizione in merito ai patrimoni detenuti presso la B._______/C._______. A dire del ricorrente tale assunto non sarebbe mai stato dimostrato e nemmeno comprovato dall'autorità estera (cfr. ricorso 26 giugno 2020, pag. 4). Si ricorda al qui ricorrente come conformemente al principio della buona fede (cfr. art. 7 lett. c LAAF) - che trova applicazione quale principio d'interpretazione e d'esecuzione dei trattati, nell'ambito dello scambio d'informazioni ai sensi delle CDI (cfr. DTF 146 II 150 consid. 7.1; 143 II 202 consid. 8.3; [tra le tante] sentenza del TAF A-5662/2020 del 10 maggio 2021 consid. 2.4.1) -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 La buona fede di uno Stato è quindi presunta nelle relazioni internazionali (principio dell'affidamento), ciò che implica, nel presente contesto, che lo Stato richiesto non può, di principio, mettere in dubbio le allegazioni dello Stato richiedente, a meno che sussistano dei seri dubbi (cfr. consid. 3.4 del presente giudizio). Ora nel caso di specie l'Agenzia delle Entrate ha indicato al punto 15 della richiesta raggruppata che (cfr. atto n. 02, inc. AFC): «Da una parziale analisi dei dati estrapolati dalle istanze, e dalla relativa documentazione di supporto, presentate dai contribuenti italiani nell'ambito dello speciale programma di collaborazione volontaria previsto dalla legge 15 dicembre 2014, n. 186, risulta che circa 7.000 contribuenti italiani hanno aderito alla Voluntary Disclosure chiedendo di regolarizzare le infedeltà ed omissioni dichiarative commesse in relazione alla detenzione di attività finanziarie (inclusi conti bancari) presso l'istituto B._______ (B._______).» Agli atti non vi sono elementi che fanno dubitare della correttezza delle informazioni fornita dall'Agenzia delle Entrate in relazione alla domanda raggruppata 11 novembre 2018, sicché - tenuto conto di quanto sopra esposto, con particolare riferimento al principio della buona fede - quest'ultima non aveva a dimostrare alcunché in tal senso. Lo stato richiesto, e quindi l'AFC, è partita a giusto titolo dal presupposto che tali allegazioni fossero corrette. Visto quanto precede, anche detta censura va pertanto respinta.</w:t>
      </w:r>
    </w:p>
    <w:p>
      <w:r>
        <w:rPr>
          <w:b/>
        </w:rPr>
        <w:t>E. 6.3</w:t>
      </w:r>
    </w:p>
    <w:p>
      <w:r>
        <w:t>Il ricorrente sostiene poi che la decisione dell'AFC 2 giugno 2020 sarebbe frutto di un accertamento inesatto e parziale dei fatti rilevanti. Infatti a mente dell'insorgente l'AFC avrebbe riportato il criterio di identificazione dei contribuenti recalcitranti di cui «let. c» (cfr. atto n. 02, pag. 5, punto 12, inc. AFC) in maniera difforme rispetto a quanto originariamente indicato dall'Agenzia delle Entrate nella domanda di assistenza amministrativa. In tal modo l'AFC avrebbe quindi accertato i fatti rilevanti in maniera parziale e inesatta (cfr. ricorso 26 giugno 2020, pagg. 3-4). Ora, il criterio in questione viene indicato nella domanda di assistenza amministrativa con la seguente formulazione (cfr. atto n. 02, pag. 5, punto 12, inc. AFC): «c. il titolare dell'attività finanziaria ha ricevuto una lettera di B._______, ora C._______ in cui è stata annunciata la chiusura forzata del conto/conti bancari salvo egli fornisca a B._______, ora C._______, istituto di credito l'autorizzazione del modello Direttiva Risparmio UE per la Collaborazione Volontaria (Voluntary DiscIosure) o ogni altra prova del rispetto delle proprie obbligazioni fiscali relativamente a tale conto/conti.» Mentre lo stesso viene riportato nella decisione dell'AFC nella seguente maniera (cfr. decisione impugnata, consid. 2): «c) Al titolare del/i conto/i è stata inviata una lettera nella quale B._______ annunciava la restrizione dei servizi bancari, se il titolare del conto non avesse fornito alla banca la prova della sua conformità fiscale riguardante il conto/i.» Da un'analisi di quanto sopra - e meglio della decisione 2 giugno 2020 dell'AFC - si evince chiaramente come l'autorità inferiore abbia riportato il criterio di identificazione di cui «let. c» in una forma semplificata, verosimilmente con l'intento di parafrasarne il contenuto. In tal senso, quanto affermato del ricorrente - ovvero che la formulazione impiegata dall'autorità inferiore differisce rispetto a quanto originariamente indicato dall'autorità italiana nella richiesta raggruppata - è corretto. Ciò premesso, lo scrivente Tribunale rileva quanto segue. Sebbene il criterio di cui «let. c» (cfr. atto n. 02, pag. 5, punto 12, inc. AFC) non sia stato trascritto con la medesima formulazione impiegata in origine nella domanda raggruppata, si considera che tale divergenza non sia tuttavia tale da averne modificato il senso o il contenuto in maniera inammissibile. Infatti nella sua decisione l'autorità inferiore fa chiaramente riferimento al criterio così come indicati nella domanda raggruppata, trattandosi di fatto - quanto riportato nella decisione AFC - di una parafrasi del contenuto originario. A ciò si aggiunge che il ricorrente era chiaramente a conoscenza del criterio così come esposto nella domanda raggruppata. Lo stesso ha evidentemente avuto modo di prendere atto di quanto esposto nella domanda di assistenza amministrativa, così come ha potuto esprimersi a tal riguardo con piena cognizione di causa. Pertanto non vi è modo di ammettere che tale divergenza - sebbene presente - possa essere stata pregiudizievole al qui ricorrente e che la stessa possa essere considerata frutto di un accertamento inesatto e parziale dei fatti rilevanti. A titolo abbondanziale si rileva inoltre che - come già esposto in precedenza - è proprio la predetta domanda raggruppata in quanto tale che è stata ritenuta ammissibile dal Tribunale federale con sentenza di principio 2C_73/2021 del 27 dicembre 2021 (cfr. considd. 4.1 e 4.2 del presente giudizio). In tal occasione l'Alta Corte ha chiaramente sancito con riferimento al tenore della lettera 20 febbraio 2015 della banca B._______ /C._______ (minaccia di restrizioni all'utilizzo del conto) - la quale non corrisponde esattamente a quanto esposto nella predetta domanda raggruppata (minaccia di chiusura forzata del conto) - che ciò non porta ad escludere gli interessati dal modello di comportamento descritto dall'autorità richiedente italiana nella propria domanda. La minaccia delle restrizioni annunciate nella missiva 20 febbraio 2015 è dunque assimilabile alla minaccia di chiusura forzata del conto, in quanto le due misure hanno in concreto lo stesso effetto dissuasivo. Visto quanto precede, anche detta censura va pertanto respinta.</w:t>
      </w:r>
    </w:p>
    <w:p>
      <w:r>
        <w:rPr>
          <w:b/>
        </w:rPr>
        <w:t>E. 6.4</w:t>
      </w:r>
    </w:p>
    <w:p>
      <w:r>
        <w:t>Infine con riferimento alla violazione del principio di proporzionalità e dei diritti del qui ricorrente - violazione che sarebbe causata, a dire dello stesso, dalla trasmissione dei suoi dati all'autorità italiana - si rileva quanto segue. Come già esposto in precedenza, la predetta domanda raggruppata in quanto tale è stata ritenuta ammissibile dal Tribunale federale con sentenza di principio 2C_73/2021 del 27 dicembre 2021 (cfr. considd. 4.1 e 4.2 del presente giudizio). L'Alta Corte ha infatti considerato che la domanda di assistenza amministrativa in esame sia ammissibile e questo sia dal punto di vista materiale sia da quello formale. È stato quindi appurato che la stessa rispetti l'insieme della legislazione nazionale così come quella internazionale, motivo per cui il Tribunale federale si è pronunciato a favore della correttezza della trasmissione dei dati all'Italia. In tal senso il qui ricorrente nulla può trarre da tale censura, essendo la domanda di richiesta amministrativa già stata oggetto in merito a tali questioni di esame completo. Visto quanto precede, detta censura va pertanto respinta.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