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A-3258/2012 vom 6. November 2012</w:t>
      </w:r>
    </w:p>
    <w:p>
      <w:r>
        <w:t>Bundesverwaltungsgericht, 2012-11-06, DE</w:t>
      </w:r>
    </w:p>
    <w:p>
      <w:r>
        <w:rPr>
          <w:b/>
        </w:rPr>
        <w:t xml:space="preserve">Quelle: </w:t>
      </w:r>
      <w:r>
        <w:t>https://mcp.opencaselaw.ch/entscheid/bvger_A-3258_2012</w:t>
      </w:r>
    </w:p>
    <w:p>
      <w:r>
        <w:t>FR: TAF A-3258/2012 du 6 novembre 2012</w:t>
      </w:r>
    </w:p>
    <w:p>
      <w:r>
        <w:t>IT: TAF A-3258/2012 del 6 novembre 2012</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23 des Elektrizitätsgesetzes vom 24. Juni 1902 [EleG, SR 734.0] und Art. 31 ff. des Verwaltungsgerichtsgesetzes vom 17. Juni 2005 [VGG, SR 173.32]). Der Beschwerdeführer ist Adressat der angefochtenen Verfügung und durch diese beschwert. Er ist damit nach Art. 48 Abs. 1 des Verwaltungsverfahrensgesetzes vom 20. Dezember 1968 (VwVG, SR 172.021) zur Beschwerde berechtigt. Auf die frist- und formgerecht eingereichte Beschwerde (Art. 50 Abs. 1 und Art. 52 Abs. 1 VwVG) ist daher einzutreten.</w:t>
      </w:r>
    </w:p>
    <w:p>
      <w:r>
        <w:rPr>
          <w:b/>
        </w:rPr>
        <w:t>E. 2.1</w:t>
      </w:r>
    </w:p>
    <w:p>
      <w:r>
        <w:t>Der Beschwerdeführer stellt nicht grundsätzlich in Frage, als Eigentümer einer Liegenschaft für die Einreichung der Sicherheitsnachweise besorgt sein zu müssen. Er ist jedoch der Ansicht, einen Elektriker benachrichtigt und mit der Mängelbehebung beauftragt zu haben. Dieser habe die Angelegenheit gemeinsam mit dem Kontrolleur besprochen und diesem den Schlussbericht am 12. Mai 2012 zukommen lassen. Auf dessen Schreibtisch sei die Sache liegen geblieben. Als Liegenschaftsbesitzer sei er auf Fachleute angewiesen und erwarte, dass diese ihren Aufgaben nachkämen; er sei nicht bereit, für deren Unterlassungen aufkommen und eine Busse entrichten zu müssen. Der Beschwerdeführer ficht in seiner Beschwerde somit einzig die Auferlegung der Gebühr von Fr. 600.- für den Erlass der angefochtenen Verfügung an (Dispositivziff. 2). Dispositivziff. 1 der angefochtenen Verfügung stellt demgegenüber nicht Streitgegenstand des vorliegenden Beschwerdeverfahrens dar.</w:t>
      </w:r>
    </w:p>
    <w:p>
      <w:r>
        <w:rPr>
          <w:b/>
        </w:rPr>
        <w:t>E. 2.2</w:t>
      </w:r>
    </w:p>
    <w:p>
      <w:r>
        <w:t>Gemäss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NIV Gebühren zu erheben.</w:t>
      </w:r>
    </w:p>
    <w:p>
      <w:r>
        <w:rPr>
          <w:b/>
        </w:rPr>
        <w:t>E. 2.3</w:t>
      </w:r>
    </w:p>
    <w:p>
      <w:r>
        <w:t>Vorliegend hat die Netzbetreiberin resp. das von ihr beauftragte Unternehmen den Beschwerdeführer am 4. Mai 2009 erstmals aufgefordert, einen Sicherheitsnachweis einzureichen. Nach Ablauf der angesetzten halbjährigen Frist erfolgten zwei Mahnungen sowie nach telefonischer Absprache eine letzte Fristverlängerung (Schreiben der A._______ AG vom 4. Mai 2009, 25. Januar 2010, 18. Juni 2010 und 24. Januar 2011). Nachdem der Beschwerdeführer den Sicherheitsnachweis dennoch nicht eingereicht hatte, übergab die Netzbetreiberin die Angelegenheit mit Schreiben vom 11. Januar 2012 der Vorinstanz. Die formellen Voraussetzungen für die Übergabe der Angelegenheit an die Vorinstanz (Aufforderung und zweimalige Mahnung) sind vorliegend somit erfüllt. Weiter hat der Beschwerdeführer die mit Schreiben der Vorinstanz vom 15. März 2012 angesetzte Frist verstreichen lassen, ohne einen Sicherheitsnachweis einzureichen. Zwar hat er seiner Beschwerde an das Bundesverwaltungsgericht eine Kopie des Kontrollberichts, datierend vom 13. Juni 2012, sowie des Sicherheitsnachweises beigelegt, doch ändert dies nichts daran, dass er die auf den 15. Mai 2012 angesetzte Frist nicht eingehalten hat. Seiner Verantwortung als Grundeigentümer kann sich der Beschwerdeführer sodann auch nicht mit Verweis auf ein Fehlverhalten des mit der Mängelbehebung beauftragten Elektrounternehmens resp. Kontrollorgans entziehen. Ein solches könnte allenfalls zivilrechtliche Ansprüche des Beschwerdeführers begründen, seine öffentlich-rechtliche Verpflichtung, den Sicherheitsnachweis fristgerecht zu erbringen, bleibt davon indes unberührt (vgl. Urteil des Bundesverwaltungsgerichts A-1776/2011 vom 7. September 2011 E. 2.3 mit Hinweis). Die Vorinstanz hat die angedrohte kostenpflichtige Verfügung vom 6. Juni 2012 daher zu Recht erlassen.</w:t>
      </w:r>
    </w:p>
    <w:p>
      <w:r>
        <w:rPr>
          <w:b/>
        </w:rPr>
        <w:t>E. 2.4</w:t>
      </w:r>
    </w:p>
    <w:p>
      <w:r>
        <w:t>Damit ist die dem Beschwerdeführer auferlegte Gebühr dem Grundsatz nach nicht zu beanstanden. Zu prüfen bleibt deren Höhe: Art. 41 NIV verweist hierzu auf Art. 9 und 10 der Verordnung vom 7. Dezember 1992 über das Eidgenössische Starkstrominspektorat (Vo ESTI, SR 734.24). Danach betragen die Gebühren für den Erlass einer Verfügung höchstens Fr. 1'500.-- und sind nach dem tatsächlich entstandenen Aufwand zu bemessen (Art. 9 Abs. 1 Vo ESTI). Innerhalb dieses Gebührenrahmens kommt der Vorinstanz ein erheblicher Ermessensspielraum zu (vgl. Urteile des Bundesverwaltungsgerichts A-1724/2012 vom 20. September 2012 E. 4.4 und A-933/2012 vom 20. August 2012 E. 4). Die dem Beschwerdeführer auferlegten Gebühren von Fr. 600.-- bewegen sich im mittleren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noch als angemessen. Die Erhebung der Gebühr ist daher weder im Grundsatz noch in ihrer Höhe zu beanstanden.</w:t>
      </w:r>
    </w:p>
    <w:p>
      <w:r>
        <w:rPr>
          <w:b/>
        </w:rPr>
        <w:t>E. 2.5</w:t>
      </w:r>
    </w:p>
    <w:p>
      <w:r>
        <w:t>Die Beschwerde erweist sich demnach als unbegründet und ist abzuweisen.</w:t>
      </w:r>
    </w:p>
    <w:p>
      <w:r>
        <w:rPr>
          <w:b/>
        </w:rPr>
        <w:t>E. 3.1</w:t>
      </w:r>
    </w:p>
    <w:p>
      <w:r>
        <w:t>Bei diesem Ausgang des Verfahrens gilt der Beschwerdeführer als unterliegend, weshalb er die Verfahrenskosten zu tragen hat (Art. 63 Abs. 1 VwVG). Diese werden auf Fr. 500.-- festgesetzt (Art. 1 ff. des Reglements vom 21. Februar 2008 über die Kosten und Entschädigungen vor dem Bundesverwaltungsgericht [VGKE, SR 173.320.2]) und mit dem geleisteten Kostenvorschuss in derselben Höhe verrechnet.</w:t>
      </w:r>
    </w:p>
    <w:p>
      <w:r>
        <w:rPr>
          <w:b/>
        </w:rPr>
        <w:t>E. 3.2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