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A-3250/2019 vom 14. April 2020</w:t>
      </w:r>
    </w:p>
    <w:p>
      <w:r>
        <w:t>Bundesverwaltungsgericht, 2020-04-14, DE</w:t>
      </w:r>
    </w:p>
    <w:p>
      <w:r>
        <w:rPr>
          <w:b/>
        </w:rPr>
        <w:t xml:space="preserve">Quelle: </w:t>
      </w:r>
      <w:r>
        <w:t>https://mcp.opencaselaw.ch/entscheid/bvger_A-3250_2019</w:t>
      </w:r>
    </w:p>
    <w:p>
      <w:r>
        <w:t>FR: TAF A-3250/2019 du 14 avril 2020</w:t>
      </w:r>
    </w:p>
    <w:p>
      <w:r>
        <w:t>IT: TAF A-3250/2019 del 14 aprile 2020</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Das UVEK ist eine Vorinstanz nach Art. 33 Bst. d VGG. Es entschied über das Gesuch des ASTRA vom 21. Oktober 2014 im Plangenehmigungsverfahren nach Art. 27 ff. des Bundesgesetzes über die Nationalstrassen vom 8. März 1960 (NSG, SR 725.11) mittels Verfügung im Sinne des VwVG. Eine Ausnahme, was das Sachgebiet angeht, ist nicht ersichtlich (Art. 32 VGG). Demnach ist das Bundesverwaltungsgericht zur Beurteilung der vorliegenden Beschwerde zuständig. Das Verfahren vor dem Bundesverwaltungsgericht richtet sich nach dem VwVG, soweit das VGG nichts anderes bestimmt (Art. 37 VGG).</w:t>
      </w:r>
    </w:p>
    <w:p>
      <w:r>
        <w:rPr>
          <w:b/>
        </w:rPr>
        <w:t>E. 1.2.1</w:t>
      </w:r>
    </w:p>
    <w:p>
      <w:r>
        <w:t>Streitgegenstand im Verfahren vor dem Bundesverwaltungsgericht ist das Rechtsverhältnis, das Gegenstand der angefochtenen Verfügung bildet, soweit es im Streit liegt. Der Streitgegenstand kann sich im Laufe des Beschwerdeverfahrens nur verengen. Er darf hingegen weder erweitert noch qualitativ verändert werden. Richtet sich die Beschwerde gegen eine im Infrastrukturbereich ergangene (bundesrechtliche)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(vgl. Art. 27d NSG). Damit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S. 2620 und 2634; BGE 133 II 30 E. 2.1 ff.; BVGE 2016/13 E. 1.3.4).</w:t>
      </w:r>
    </w:p>
    <w:p>
      <w:r>
        <w:rPr>
          <w:b/>
        </w:rPr>
        <w:t>E. 1.2.2</w:t>
      </w:r>
    </w:p>
    <w:p>
      <w:r>
        <w:t>Die Beschwerdeführerin beantragte vor der Vorinstanz ausschliesslich die Verschiebung des Sicherheitsstollens sowie einer Querverbindung. Die mit der Beschwerde an das Bundesverwaltungsgericht gestellten Begehren um Erstellung eines Rissprotokolls und einer Zustandsaufnahme bildeten hingegen nicht Gegenstand ihrer Einsprache und sie können demzufolge auch nicht Streitgegenstand des vorliegenden Beschwerdeverfahrens bilden. Auf diese Beschwerdebegehren ist demnach von vornherein nicht einzutreten. Die Vorinstanz hat der Beschwerdeführerin indes in Absprache mit dem ASTRA verbindlich zugesichert, dass ein Rissprotokoll und eine Zustandsaufnahme erstellt werden (vgl. Sachverhalt E.).</w:t>
      </w:r>
    </w:p>
    <w:p>
      <w:r>
        <w:rPr>
          <w:b/>
        </w:rPr>
        <w:t>E. 1.3</w:t>
      </w:r>
    </w:p>
    <w:p>
      <w:r>
        <w:t>Im Übrigen geben weder die Legitimation (Art. 48 Abs. 1 VwVG) noch die weiteren formellen Beschwerdevoraussetzungen (Art. 50 Abs. 1 und Art. 52 Abs. 1 VwVG) Anlass zu Bemerkungen. Demnach ist - unter Vor-behalt der zuvor erwähnten Einschränkung (E. 1.2) - auf die Beschwerde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Das Bundesverwaltungsgericht auferlegt sich jedoch eine gewisse Zurückhaltung, wenn technische Fragen zu beurteilen sind oder die Vorinstanz gestützt auf die ihr vom Gesetzgeber beigegebenen Fachbehörden entschieden hat und darf sich auch seinerseits weitgehend auf die Meinung der Fachstellen stützen.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133 II 35 E. 3 und BGE 142 II 451 E. 4.5.1; Urteil des BVGer A-2587/2018 vom 20. Februar 2019 E. 2).</w:t>
      </w:r>
    </w:p>
    <w:p>
      <w:r>
        <w:rPr>
          <w:b/>
        </w:rPr>
        <w:t>E. 3</w:t>
      </w:r>
    </w:p>
    <w:p>
      <w:r>
        <w:t>Die Beschwerdeführerin rügt, eine der geplanten Querverbindungen würde stellenweise nur ca. 8 m entfernt von ihrem Haus gebaut werden. Es sei mit erheblichem Baulärm und Erschütterungen zu rechnen, weshalb sie eine Verlegung der Querverbindung in Richtung (...) (Grundstück Nr. [...]) oder in Richtung der Grundstücke Nr. (...) und (...) zur Grenze des Grundstücks Nr. (...) beantrage. Dasselbe gelte für den Bau des Sicherheitsstollens, welcher im vorderen Bereich der Grundstücke Nr. (...) und (...) erstellt werden solle. Obwohl die Distanz zu ihrem Haus in diesem Fall etwas grösser sei, sei kaum mit geringerem Baulärm zu rechnen. Die Linienführung des Sicherheitsstollens sei daher so abzuändern, dass diese ausserhalb der Grundstücke Nr. (...) und (...) zu liegen komme.</w:t>
      </w:r>
    </w:p>
    <w:p>
      <w:r>
        <w:rPr>
          <w:b/>
        </w:rPr>
        <w:t>E. 3.1</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(vgl. zum Ganzen BGE 139 II 499 E. 7.3.1; Urteil des BGer 1C_560/2010 vom 14. Juli 2011 E. 7; Urteile des BVGer A-7748/2015 vom 29. November 2017 E. 4.2.1, A-5641/2016 vom 18. Mai 2017 E.5.2, A-6015/2015 vom 10. Januar 2017 E. 11.2, A-817/2010 vom 16. Februar 2011 E. 6.2.1).</w:t>
      </w:r>
    </w:p>
    <w:p>
      <w:r>
        <w:rPr>
          <w:b/>
        </w:rPr>
        <w:t>E. 3.2.1</w:t>
      </w:r>
    </w:p>
    <w:p>
      <w:r>
        <w:t>In Bezug auf den Antrag der Beschwerdeführerin auf Verlegung der Querverbindung legte das ASTRA in seiner Stellungnahme vom 20. Mai 2015 dar, dass die Lagen der Querverbindungen durch die Lagen der Fluchttüren definiert würden, welche wiederum durch eine umfassende Risikoanalyse bestimmt worden seien. Gemäss dieser Risikoanalyse seien die Fluchttüren in regelmässigen Abständen von 150 m anzuordnen.</w:t>
      </w:r>
    </w:p>
    <w:p>
      <w:r>
        <w:rPr>
          <w:b/>
        </w:rPr>
        <w:t>E. 3.2.2</w:t>
      </w:r>
    </w:p>
    <w:p>
      <w:r>
        <w:t>Die Vorinstanz bestätigt in der angefochtenen Verfügung, dass die Fluchttüren alle 150 m zu erstellen seien. Die fragliche Fluchttüre mit Querverbindung zum Sicherheitsstollen befinde sich ziemlich exakt 150 m vom (...) entfernt. Eine Verschiebung der Querverbindung in die gewünschte Richtung könne bestenfalls um einige Meter erfolgen. Dies habe auf die Immissionen der Beschwerdeführerin jedoch kaum Auswirkungen.</w:t>
      </w:r>
    </w:p>
    <w:p>
      <w:r>
        <w:rPr>
          <w:b/>
        </w:rPr>
        <w:t>E. 3.2.3</w:t>
      </w:r>
    </w:p>
    <w:p>
      <w:r>
        <w:t>Wie das ASTRA und die Vorinstanz zu Recht ausführen, sind die Fluchtwege gemäss einer durchgeführten Risikoanalyse in regelmässigem Abständen von 150 m anzuordnen (vgl. "Kurzbericht nach Störfallverordnung" vom 6. Dezember 2013 S. 24 f.). Eine Verschiebung der fraglichen Querverbindung in den Bereich (...) oder in Richtung der Grundstücke Nr. (...) und (...) zur Grenze des Grundstücks Nr. (...) - wie sie die Beschwerdeführerin zwecks Vermeidung übermässig befürchteter Immissionen verlangt - hätte zur Folge, dass der Maximalabstand von 150 m zum (...) bzw. der Querverbindung (...) überschritten würde. Eine Verlegung der Querverbindung ist daher aus Sicherheitsgründen ausgeschlossen. Zudem ist zu bedenken, dass die Verschiebung der Querverbindung von Neubetroffenen allenfalls angefochten werden würde, welche ihrerseits Einwände gegen die Lage der Querverbindung geltend machen würden. Unter Berücksichtigung der Sicherheitsaspekte wäre eine Verschiebung höchstens - wie die Vorinstanz zu Recht festhält - um einige wenige Meter denkbar. Gemäss der fachkundigen Einschätzung des UVEK würde eine solche geringfügige Verschiebung jedoch kaum Auswirkungen auf die Immissionen bei der Beschwerdeführerin zeitigen. Eine Projektänderung erscheint vor diesem Hintergrund daher nicht als zweckmässig.</w:t>
      </w:r>
    </w:p>
    <w:p>
      <w:r>
        <w:rPr>
          <w:b/>
        </w:rPr>
        <w:t>E. 3.3.1</w:t>
      </w:r>
    </w:p>
    <w:p>
      <w:r>
        <w:t>In Bezug auf den zweiten Antrag der Beschwerdeführerin auf Verschiebung des Sicherheitsstollens hielt das ASTRA in seiner Stellungnahme vom 20. Mai 2015 fest, die projektierte Linienführung des Sicherheitsstollens sei unter Berücksichtigung der erforderlichen Baumethode infolge der vorhandenen Geologie, der notwendigen Überdeckung für das Tunnelbauwerk und der maximalen Neigung der Querstollen sowie der maximalen Neigung zum Portal festgelegt worden. Als weitere Kriterien seien sodann der minimale Abstand zum Grundwasser, der Einfluss des Sicherheitsstollens auf den bestehenden Tunnel (Veränderung Gebirgsdruck) sowie der haushälterische Umgang mit finanziellen Mitteln miteinbezogen worden. Zudem berücksichtige das Projekt auch den Bau der zweiten Röhre des Tunnels Fäsenstaub. Eine Linienführung ausserhalb des Grundstücks Nr. (...) könne aus technischen Gründen nur durch eine Vergrösserung des Abstandes vom bestehenden Tunnel Fäsenstaub zum geplanten Sicherheitsstollen erreicht werden. Dies hätte längere Querverbindungen sowie eine geringere Überdeckung im Bereich des Sicherheitsstollens und somit technische Erschwernisse, höhere Risiken, längere Bauzeiten und höhere Baukosten zur Folge.</w:t>
      </w:r>
    </w:p>
    <w:p>
      <w:r>
        <w:rPr>
          <w:b/>
        </w:rPr>
        <w:t>E. 3.3.2</w:t>
      </w:r>
    </w:p>
    <w:p>
      <w:r>
        <w:t>Die Vorinstanz hielt in der Plangenehmigungsverfügung fest, dass eine Verschiebung des Sicherheitsstollens aus den vom ASTRA genannten Gründen nicht zweckmässig sei. Es sei zudem zu berücksichtigen, dass sich der Sicherheitsstollen im Korridor des vom Bundesrat bereits genehmigten generellen Projekts für einen zweiten Tunnel Fäsenstaub befinde. Eine Verlegung hätte demnach zu Folge, dass allenfalls bereits nach wenigen Jahren nach der Realisierung statt einer Vergrösserung des bestehenden Sicherheitsstollens ein neuer Tunnel gebaut werden müsste.</w:t>
      </w:r>
    </w:p>
    <w:p>
      <w:r>
        <w:rPr>
          <w:b/>
        </w:rPr>
        <w:t>E. 3.3.3</w:t>
      </w:r>
    </w:p>
    <w:p>
      <w:r>
        <w:t>Aufgrund der Darlegungen des ASTRA und der Vorinstanz wäre eine Verschiebung des Sicherheitsstollens mit erheblichen Nachteilen behaftet, die einer Projektänderung entgegenstehen. Diese Darlegungen erscheinen nachvollziehbar und plausibel. Die Beschwerdeführerin setzt sich in ihrer Beschwerde mit dieser Argumentation nicht auseinander und legt nicht dar, inwiefern diese nicht zutreffen sollte. Mit ihrem Einwand, aufgrund der projektierten Linienführung sei mit erheblichem Lärm und Erschütterungen zu rechnen, vermag sie den Entscheid der Vorinstanz nicht in Zweifel zu ziehen. Das Bundesverwaltungsgericht sieht daher keine Veranlassung, sich über die überzeugenden Ausführungen des ASTRA und der Vorinstanz hinwegzusetzen.</w:t>
      </w:r>
    </w:p>
    <w:p>
      <w:r>
        <w:rPr>
          <w:b/>
        </w:rPr>
        <w:t>E. 3.4</w:t>
      </w:r>
    </w:p>
    <w:p>
      <w:r>
        <w:t>Im Übrigen sind auch von Seiten des BAFU als Umweltfachbehörde diesbezüglich keine Vorbehalte angemeldet worden. In seinem Fachbericht vom 3. Juni 2015 bestätigt das BAFU, dass das Projekt bei Umsetzung der vorgesehenen Massnahmen und Erfüllung seiner Anträge den bundesrechtlichen Bestimmungen für Erschütterungen, abgestrahlten Körperschall und Baulärm entspreche. Das Bundesverwaltungsgericht sieht keinen Anlass, von dieser Einschätzung der Fachbehörde abzuweichen.</w:t>
      </w:r>
    </w:p>
    <w:p>
      <w:r>
        <w:rPr>
          <w:b/>
        </w:rPr>
        <w:t>E. 4</w:t>
      </w:r>
    </w:p>
    <w:p>
      <w:r>
        <w:t>Zusammengefasst erweist sich der vorinstanzliche Entscheid, die Plangenehmigung für den Sicherheitsstollen Tunnel Fäsenstaub zu erteilen, als rechtmässig. Die angefochtene Verfügung der Vorinstanz vom 24. Mai 2019 ist daher zu bestätigen und die Beschwerde abzuweisen, sofern darauf eingetreten werden kann.</w:t>
      </w:r>
    </w:p>
    <w:p>
      <w:r>
        <w:rPr>
          <w:b/>
        </w:rPr>
        <w:t>E. 5</w:t>
      </w:r>
    </w:p>
    <w:p>
      <w:r>
        <w:t>Es bleibt über die Kosten- und Entschädigungsfolgen des Beschwerdeverfahrens vor dem Bundesverwaltungsgericht zu befinden.</w:t>
      </w:r>
    </w:p>
    <w:p>
      <w:r>
        <w:rPr>
          <w:b/>
        </w:rPr>
        <w:t>E. 5.1</w:t>
      </w:r>
    </w:p>
    <w:p>
      <w:r>
        <w:t>Bei diesem Verfahrensausgang gilt die Beschwerdeführerin als unterliegend und hat daher die Verfahrenskosten zu tragen. Sie werden auf Fr. 2'000.- festgesetzt (vgl. Art. 63 Abs. 1 VwVG i.V.m. Art. 1 ff. des Reglements vom 21. Februar 2008 über die Kosten und Entschädigungen vor dem Bundesverwaltungsgericht [VGKE, SR 173.320.2]). Dieser Betrag wird dem Kostenvorschuss entnommen.</w:t>
      </w:r>
    </w:p>
    <w:p>
      <w:r>
        <w:rPr>
          <w:b/>
        </w:rPr>
        <w:t>E. 5.2</w:t>
      </w:r>
    </w:p>
    <w:p>
      <w:r>
        <w:t>Angesichts ihres Unterliegens hat die Beschwerdeführerin keinen Anspruch auf Parteientschädigung (Art. 64 Abs. 1 VwVG; Art. 7 Abs. 1 VGKE). Ebenfalls keinen Anspruch auf eine Parteientschädigung haben das ASTRA und die Vorinstanz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