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A-3210/2022 vom 13. Mai 2024</w:t>
      </w:r>
    </w:p>
    <w:p>
      <w:r>
        <w:t>Bundesverwaltungsgericht, 2024-05-13, IT</w:t>
      </w:r>
    </w:p>
    <w:p>
      <w:r>
        <w:rPr>
          <w:b/>
        </w:rPr>
        <w:t xml:space="preserve">Quelle: </w:t>
      </w:r>
      <w:r>
        <w:t>https://mcp.opencaselaw.ch/entscheid/bvger_A-3210_2022</w:t>
      </w:r>
    </w:p>
    <w:p>
      <w:r>
        <w:t>FR: TAF A-3210/2022 du 13 mai 2024</w:t>
      </w:r>
    </w:p>
    <w:p>
      <w:r>
        <w:t>IT: TAF A-3210/2022 del 13 maggio 2024</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28 giugno 2022 dell'autorità inferiore, con cui quest'ultima ha accolto la domanda raggruppata italiana di assistenza amministrativa del 23 novembre 2018, per quanto concerne il qui ricorrente.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4.2.4</w:t>
      </w:r>
    </w:p>
    <w:p>
      <w:r>
        <w:t>Ora, nel suo gravame il ricorrente censura innanzitutto l'irricevibilità della domanda di assistenza italiana (cfr. ricorso del 22 luglio 2022, punti n. 8-17). A suo dire, l'autorità inferiore non avrebbe accertato l'autenticità dello scritto 3 febbraio 2014 di B._______, allora che vi era motivo di farlo, violando così l'obbligo della buona fede. Sarebbe infatti stata la banca stessa a sollevare dubbi circa l'autenticità di tale scritto, motivo per cui essa avrebbe dovuto procedere alle dovute verifiche. La lettera 3 febbraio 2014 non solo non sarebbe mai stata spedita da parte della B._______, ma nemmeno sarebbero state accertate le modalità attraverso le quali tale lettera sarebbe uscita dall'istituto per poi pervenire nelle mani dell'Agenzia italiana delle Entrate, in violazione quindi degli artt. 162, 271 e 273 del Codice penale svizzero del 21 dicembre 1937 [CP, RS 311.0], nonché dell'art. 47 della Legge federale sulle banche e le casse di risparmio dell'8 novembre 1934 [LBCR, RS 952.0]. La fuoriuscita di tale lettera costituirebbe la prova - o perlomeno l'indizio - che la sua consegna all'autorità estera sia avvenuta in modo illecito e quindi in contrasto con il principio dell'affidamento. In applicazione dell'art. 7 lett. a LAAF, l'autorità inferiore avrebbe dunque dovuto dichiarare irricevibile la domanda di assistenza amministrativa e questo senza nemmeno entrare nel merito della stessa. La domanda avrebbe poi carattere contraddittorio - o perlomeno « oscuro » - così come indicato da F._______ nel suo parere legale (cfr. atto n. 42 pag. 9 dell'incarto prodotto dall'autorità inferiore su chiave USB [di seguito: inc. AFC). Tali aspetti sarebbero in chiaro contrasto con il principio della buona fede. Allo scopo di chiarire tali contraddizioni - nonché i punti oscuri della domanda - l'autorità inferiore avrebbe proceduto a un'inchiesta « colossale » sul territorio elvetico, durata anni, inchiesta che - a dire del ricorrente - il perito stesso avrebbe dichiarato come inammissibile (cfr. atto n. 42 inc. AFC, pag. 13 del parere). In sintesi, la domanda di assistenza sarebbe da respingere in quanto contra legem.</w:t>
      </w:r>
    </w:p>
    <w:p>
      <w:r>
        <w:rPr>
          <w:b/>
        </w:rPr>
        <w:t>E. 4.2.5</w:t>
      </w:r>
    </w:p>
    <w:p>
      <w:r>
        <w:t>Successivamente, l'insorgente lamenta l'irritualità delle indagini dell'AFC (cfr. ricorso del 22 luglio 2022, punti n. 18-28). L'ampiezza straordinaria delle ricerche svolte da parte di B._______ - rispettivamente dall'autorità inferiore - dimostrerebbe infatti la non plausibilità ab initio della richiesta di assistenza. L'indagine sarebbe anche irrituale - a mente dell'insorgente - poiché sarebbe stata svolta senza coinvolgimento alcuno delle parti interessate - ossia della clientela dell'istituto - così come del qui ricorrente. In merito alle risultanze sulle quali si fonda poi la domanda, queste farebbero emergere un risultato - a dire del ricorrente - insoddisfacente: non risulterebbe infatti che lo scritto B._______ 3 febbraio 2014 sia mai stato allestito e inviato ai clienti della banca, tra cui il qui ricorrente. L'indagine avrebbe poi fatto emergere come sarebbe anche stata rinvenuta una lettera interna di contenuto simile allo scritto 3 febbraio 2014, indicante una data postuma e mai inviata ai clienti, così come altre lettere, con testo analogo a quella 3 febbraio 2014 ma inviate a una data successiva. A ciò si aggiunge che nemmeno sarebbe emerso a quali clienti le suddette « altre lettere » sarebbero state inviate né tantomeno se tali scritti sarebbero stati inviati alla qui parte ricorrente. Infine, sarebbe stata individuata una lettera quasi identica allo scritto 3 febbraio 2014, ma datata 20 febbraio 2015, della quale nemmeno vi sarebbe certezza in merito ai suoi destinatari. Di fronte a tali risultati - a dire del ricorrente - completamente contraddittori, l'AFC avrebbe dovuto perlomeno procedere a chiarire « i fatti rimasti incerti ». In tal senso, la decisione dell'autorità inferiore di respingere la richiesta della qui ricorrente di richiedere ulteriori documenti a B._______ sarebbe priva di motivazione e anch'essa irrituale. In conclusione, alla luce di quanto esposto, il ricorrente chiede - in via subordinata - che la decisione venga « annullata e che tutti gli atti vengano rinviati all'AFC per effettuare le indagini richieste dalla Parte qui ricorrente ».</w:t>
      </w:r>
    </w:p>
    <w:p>
      <w:r>
        <w:rPr>
          <w:b/>
        </w:rPr>
        <w:t>E. 4.2.6</w:t>
      </w:r>
    </w:p>
    <w:p>
      <w:r>
        <w:t>Il ricorrente censura poi l'assenza dei requisiti di « Aufforderung » (cfr. ricorso del 22 luglio 2022, punti n. 38-43). Più precisamente, l'insorgente critica il contenuto della lettera 20 febbraio 2015. La formulazione di tale scritto sarebbe infatti diversa da quella della lettera che G._______ aveva inviato ai suoi clienti con recapito in Olanda, motivo per cui - a dire del ricorrente - la giurisprudenza DTF 143 II 136 non si applicherebbe alla domanda qui in esame. Nella lettera 20 febbraio 2015 non sarebbe contenuta nessuna richiesta (ovvero « Aufforderung ») di prendere posizione e di dimostrare quindi la conformità fiscale dei propri averi depositati. Mancherebbe non solo la prova che tale « Aufforderung » sia stata ricevuta, ma perfino che una tale richiesta sia mai stata formulata. L'autorità inferiore avrebbe inoltre delegato alla banca la facoltà di stabilire « se un deposito sia conforme o meno al diritto fiscale, tanto più a quello italiano », allora che la « privatizzazione delle indagini » non sarebbe prevista dal diritto svizzero, men che meno la « privatizzazione della qualifica giuridica ». In tal senso, a dire del ricorrente, il fatto che il cliente abbia ricevuto o meno tale scritto dalla banca sarebbe « irrilevante » poiché non sarebbe mai stata comprovata la « non conformità fiscale » del deposito presso B._______ durante il periodo richiesto. Verrebbe quindi a mancare uno dei due requisiti del modello di comportamento ipotizzato nella domanda di assistenza amministrativa. A ciò si aggiungerebbe che - a dire dell'insorgente - sarebbe « viziata anche la premessa maggiore del sillogismo siccome una porzione di clienti di B._______ ha autodichiarato la sua evasione fiscale, mediante voluntary disclosure, allora anche i depositi della persona qui ricorrente risulterebbero non conformi fiscalmente. Essendo viziata la premessa maggiore, ne risulta viziata anche la conclusione. Il dato statistico, per altro ipotetico, non costituisce elemento fisiologico del modello di comportamento. Calcolo delle probabilità? Non è ancora ammesso come metodo probatorio procedurale. Quanti erano i contribuenti italiani di B._______? Ignoto. Pertanto non si può nemmeno ipotizzare se gli autodichiarati fossero stati la metà, un terzo, il 23% oppure il 15% di tutti i contribuenti italiani clienti di B._______ ». Anche per questi motivi, la domanda andrebbe dunque respinta.</w:t>
      </w:r>
    </w:p>
    <w:p>
      <w:r>
        <w:rPr>
          <w:b/>
        </w:rPr>
        <w:t>E. 4.2.7</w:t>
      </w:r>
    </w:p>
    <w:p>
      <w:r>
        <w:t>Continuando, l'insorgente lamenta l'assenza del comportamento rilevante (cfr. ricorso del 22 luglio 2022, punti n. 44-47). A dire del ricorrente, « Une adresse de domiciliation en Italie » come si legge nella lettera AFC a B._______ datata 29 marzo 2019, non costituirebbe comportamento rilevante ai fini della determinazione o meno della conformità fiscale. Il medesimo ragionamento troverebbe applicazione anche al concetto utilizzato dall'Agenzia delle Entrate, ovvero « l'indirizzo di domicilio o di residenza in Italia ». Infatti, l'impiegato che ha registrato il recapito postale nei documenti di apertura non avrebbe condotto nessun tipo di verifica circa l'esistenza dei requisiti per stabilire quale fosse il domicilio fiscale reale del cliente interessato. Si tratterebbe infatti di « un concetto ben diverso da quei due espressi nelle due lettere suddette. Successivamente, a dire del ricorrente, « L'assenza dei requisiti della domanda di gruppo emergerebbe dai dati statistici ben noti all'AFC: secondo la lettera B._______ datata 04.07.2019, la lettera datata 20.02.2015 venne spedita a 10'000 clienti. Ma B._______ ha segnalato all'AFC soltanto circa 2'000 clienti. In base a quali criteri la Banca ha inseriti la persona qui ricorrente nella categoria dei &lt;recalcitrant&gt; e non invece nella categoria degli altri 8'000? ». L'insorgente chiederebbe dunque formalmente di documentare come e quando l'autorità inferiore avrebbe verificato i criteri in base ai quali la banca avrebbe effettuato tale selezione, ovvero quella fra la categoria dei duemila clienti e quella degli ottomila clienti. Infine, a mente del ricorrente, la rilevanza verosimile dovrebbe essere anche verificata in base al criterio dell'utilità per la imposizione fiscale da parte dell'autorità del paese richiedente. Dovrebbe quindi essere ancora dimostrato come la cernita effettuata da B._______ all'epoca abbia tenuto conto delle differenti regole applicabili all'epoca secondo il diritto fiscale italiano, come ad esempio « a) il mancato obbligo di dichiarazione di avere patrimoniali inferiori alla soglia di 15.000 Euro; b) il mancato obbligo di dichiarazione di depositi bancari infruttiferi, trattandosi di avere patrimoniali non investiti; c) la carente rilevanza di omessa dichiarazione nel quadro RW, nel caso si sia comunque provveduto nell'ambito della dichiarazione fiscale medesima ».</w:t>
      </w:r>
    </w:p>
    <w:p>
      <w:r>
        <w:rPr>
          <w:b/>
        </w:rPr>
        <w:t>E. 4.2.8</w:t>
      </w:r>
    </w:p>
    <w:p>
      <w:r>
        <w:t>Successivamente, il ricorrente produce un parere legale datato 5 maggio 2020 di F._______ (cfr. atto n. 42 inc. AFC, pag. 9 del parere; cfr. ricorso del 22 luglio 2022, punti n. 48-53). A suo dire, tale parere non era disponibile nell'ambito dei ricorsi già sottoposti alle istanze federali, motivo per cui non sarebbe ammissibile risolvere il presente caso limitandosi a richiamare il contenuto della sentenza del Tribunale federale del 27 dicembre 2021 2C_73/2021. In tale parere, il professore avrebbe indicato come « di fronte al carattere generico e non dettagliato delle due lettere suddette, il parere legale conclude che la domanda di assistenza &lt;devrait faire l'objet d'une non-entrée en matière de la part de l'AFC CH&gt; (cfr. parere legale pag.12) ». Continuando e in merito alle due lettere della banca, secondo il parere a queste mancherebbe il carattere di ingiunzione (Injonction/Aufforderung), così come invece richiesto dalla giurisprudenza federale, ciò che imporrebbe di considerare come non soddisfatti i requisiti alla base di una domanda raggruppata. Tale parere legale - a mente del ricorrente - sarebbe uno « strumento idoneo per procedere a quell'analisi di plausibilità ( Plausibilitätsprüfung ) in relazione con la tutela del diritto costituzionale di essere sentito, alla quale si è dedicato con particolare approfondimento il Tribunale Federale nelle sue sentenze 2C_901/2020 e 2C_903/2020 datate 5 novembre 2021 (...) ».</w:t>
      </w:r>
    </w:p>
    <w:p>
      <w:r>
        <w:rPr>
          <w:b/>
        </w:rPr>
        <w:t>E. 4.2.9</w:t>
      </w:r>
    </w:p>
    <w:p>
      <w:r>
        <w:t>Infine, seppur in maniera poco chiara, l'insorgente sembrerebbe lamentare la violazione del divieto di « fishing expedition ». Infatti, egli afferma - in sede di ricorso - che « Senza risposta precisa, sicura, certificata, esaustiva a queste che sono le domande investigative più elementari in ogni procedura amministrativa, manca la certezza della spedizione e della notifica. Anche la lettera di B._______/C._______ riconosce che mancano le basi per riconoscere il modello di comportamento ipotizzato nella domanda di gruppo (cfr. lettera C._______ datata 13.05.2019 pag. 2) e riconosce quindi che la domanda italiana debba essere qualificata come una fishing expedition » (cfr. ricorso del 22 luglio 2022, punto n. 34).</w:t>
      </w:r>
    </w:p>
    <w:p>
      <w:r>
        <w:rPr>
          <w:b/>
        </w:rPr>
        <w:t>E. 4.2.10</w:t>
      </w:r>
    </w:p>
    <w:p>
      <w:r>
        <w:t>Sennonché tali censure non possono che essere qui respinte. Gli argomenti sollevati dal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Ora, questa stessa domanda è alla base della presente procedura di ricorso, sicché non si può seguire il ricorrente allorquando questo ritiene - contrariamente a quanto stabilito dal Tribunale federale - che la domanda non sia conforme al diritto e più precisamente alla CDI CH-IT.</w:t>
      </w:r>
    </w:p>
    <w:p>
      <w:r>
        <w:rPr>
          <w:b/>
        </w:rPr>
        <w:t>E. 4.2.11</w:t>
      </w:r>
    </w:p>
    <w:p>
      <w:r>
        <w:t>Per quanto attiene in maniera più specifica al parere di F._______ (cfr. atto n. 42 inc. AFC) prodotto dal ricorrente, lo scrivente Tribunale rileva quanto segue. Con sentenza pilota del 27 dicembre 2021 2C_73/2021, il Tribunale federale ha chiaramente sancito in maniera vincolante per lo scrivente Tribunale che la domanda raggruppata italiana di assistenza amministrativa del 23 novembre 2018 è formalmente (cfr. consid. 4.1 del presente giudizio) e materialmente (cfr. consid. 4.2 del presente giudizio) ammissibile. Ora, questa stessa domanda è alla base della presente procedura di ricorso, sicché non si può seguire il ricorrente allorquando egli ritiene - contrariamente a quanto stabilito dal Tribunale federale - che la domanda non sia conforme alla CDI CH-IT. In tal senso, il parere di F._______, non ha quindi influsso alcuno e questo nella misura in cui il Tribunale federale ha già sancito l'ammissibilità della suddetta domanda e lo scrivente Tribunale non intravvede motivo alcuno per discostarsi da tale giudizio. La censura è dunque respinta.</w:t>
      </w:r>
    </w:p>
    <w:p>
      <w:r>
        <w:rPr>
          <w:b/>
        </w:rPr>
        <w:t>E. 5.1</w:t>
      </w:r>
    </w:p>
    <w:p>
      <w:r>
        <w:t>Constatata l'ammissibilità della domanda raggruppata italiana di assistenza amministrativa del 23 novembre 2018, occorre ancora stabilire se il ricorrente rientri o meno nel modello di comportamento (lecitamente) ivi descritto dall'autorità richiedente italiana. Ora, il ricorrente contesta il suo statuto quale contribuente fiscale recalcitrante (cfr. ricorso del 22 luglio 2022, punti n. 29-37; replica spontanea del 24 ottobre 2022, punti n. 11-18). A suo dire, mancherebbe infatti la prova sicura dell'invio e della presa di conoscenza da parte sua di una qualsivoglia « Aufforderung ». La condizione di appartenenza alla categoria dei contribuenti recalcitranti non sarebbe adempiuta poiché non sarebbe dimostrato che la lettera 3 febbraio 2014 sia mai stata spedita da B._______ ai suoi clienti. Per quanto concerne invece la lettera 20 febbraio 2015, mancherebbe la prova certa che tale scritto sia stato spedito e notificato in modo formalmente e materialmente ineccepibile al suo destinatario. Nel caso specifico del ricorrente, egli sarebbe stato - a suo dire - impossibilitato nel dimostrare di non aver ricevuto la suddetta « Aufforderung ». Non sarebbe ammissibile, tenuta conto la situazione probatoria suddetta « colmare questa lacuna fattuale mediante una pura presunzione, tanto più quando la presunzione si fonda sulla pura ipotesi che anche la presente Parte ricorrente fosse stata effettivamente e con certezza destinataria della famosa lettera datata 20.02.2015 ». Mancherebbero dunque due requisiti fondamentali richiesti dalla giurisprudenza: (1) la fissazione del termine per comprovare la conformità fiscale del proprio deposito e (2) la ricezione effettiva della lettera contenente tale termine. A ciò si aggiungerebbe che, anche il verbale di interrogarlo come testimone, in contraddittorio, dell'impiegato della banca che avrebbe sostenuto di avere spedito tale lettera, mancherebbe, così come un'altra serie di altri dati. Non sarebbero dunque soddisfatte le regole sancite dell'Alta Corte e relative alla certezza della presa di conoscenza da parte del cliente dello scritto della banca, le quali imporrebbero « la prova » e non la semplice « verosimiglianza ». Infine, nemmeno la finzione connessa alla notifica in « posta trattenere » sarebbe in grado di soddisfare tali requisiti stabiliti dalla sentenza pilota. In sintesi, verrebbe quindi meno « una delle condizioni per riconoscere l'assistenza di quel modello di comportamento che può legittimare la relativa domanda di gruppo ».</w:t>
      </w:r>
    </w:p>
    <w:p>
      <w:r>
        <w:rPr>
          <w:b/>
        </w:rPr>
        <w:t>E. 5.2</w:t>
      </w:r>
    </w:p>
    <w:p>
      <w:r>
        <w:t>A tal proposito, lo scrivente Tribunale rileva come da un esame degli atti dell'incarto - e meglio dalla documentazione fornita dalla banca B._______/C._______ (cfr. atto n. 18.2 inc. AFC) - risulti chiaramente che durante il periodo interessato dalla predetta domanda raggruppata, il ricorrente era titolare di un conto bancario presso la banca B._______/C._______. È poi incontestato ch'egli abbia preso conoscenza della lettera 20 febbraio 2015 della predetta banca. Dal doc. 18.2 emerge infatti chiaramente come in tale rapporto la banca abbia indicato in data 27 marzo 2015 che « Visita x aggiornamento volontary disclosure e informazioni su restrizioni prelevamenti e bonifici. Il cliente comunica che probabilmente trasferirà progressivamente i fondi a favore di una relazione intestata a sé stesso in un paese autorizzato. Informato sui tempi di chiusura relazione in quanto dispone di una garanzia x carta di credito che deve restituire » e in data 14 dicembre 2015 che « Visita ADE x firma lettera di chiusura con disposizioni di trasferimento fondi a favore paese autorizzato in quanto non ha nessuna intenzione di aderire alla VD. Comunica necessità che la relazione venga estinta entro il 31.12.2015 ma ribadito nuovamente ( vedi rapporti visita 16.01 + 27.03.2015 ) che essendoci carta di credito ( che il cliente consegna) la garanzia verrà liberata unicamente fra 3 mesi ». In tali circostanze, vi è dunque motivo di presumere che il ricorrente abbia avuto conoscenza di detto scritto e abbia tuttavia scelto di non reagire a detta lettera comprovando la sua conformità fiscale, sicché egli rientra nel modello di comportamento descritto nella domanda raggruppata. Si deve dunque concludere che la trasmissione delle informazioni sia ammissibile.</w:t>
      </w:r>
    </w:p>
    <w:p>
      <w:r>
        <w:rPr>
          <w:b/>
        </w:rPr>
        <w:t>E. 6.1</w:t>
      </w:r>
    </w:p>
    <w:p>
      <w:r>
        <w:t>In conclusione, lo scrivente Tribunale deve constatare che la domanda raggruppata italiana di assistenza amministrativa del 23 novembre 2018 adempie tutti i requisiti formali e materiali alla base della sua ammissibilità. Nella misura in cui il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w:t>
      </w:r>
    </w:p>
    <w:p>
      <w:r>
        <w:rPr>
          <w:b/>
        </w:rPr>
        <w:t>E. 6.2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Fino a poco tempo fa (vedasi il comunicato stampa congiunto della Segreteria di Stato per le questioni finanziarie internazionali [SFI] e dell'AFC del 22 marzo 2024, pubblicato su: https://www.sif.admin.ch/sif/it/home/documentazione/informazioni-specifiche/oecd_musterabkommen.html [visitato il 18 aprile 2024]), vi erano differenti concezioni in merito alla portata del principio di specialità, sia sul piano nazionale che internazionale, in particolare per quanto concerne la sua componente personale. Per tale ragione, veniva dunque considerato opportuno che l'autorità inferiore informasse, caso per caso, espressamente l'autorità richiedente italiana in merito alle restrizioni relative all'uso delle informazioni a essa trasmesse (cfr. consid. 3.5 del presente giudizio; parimenti sentenza del TAF A-5309/2019 del 3 dicembre 2020 consid. 5.6). Nel caso in esame, poiché la decisione finale è stata emessa prima dell'annunciato cambiamento di prassi, è dunque opportuno - per motivi di uguaglianza di trattamento - che l'autorità inferiore precisi e riferisca all'autorità richiedente italiana quanto sancito al punto n. 2 del dispositivo del presente giudizio.</w:t>
      </w:r>
    </w:p>
    <w:p>
      <w:r>
        <w:rPr>
          <w:b/>
        </w:rPr>
        <w:t>E. 6.3</w:t>
      </w:r>
    </w:p>
    <w:p>
      <w:r>
        <w:t>In definitiva, la decisione impugnata va dunque confermata e il ricorso del ricorrente integralmente respinto, con le precisazioni all'attenzione dell'autorità inferiore di cui al consid. 6.2 circa il principio di specialità.</w:t>
      </w:r>
    </w:p>
    <w:p>
      <w:r>
        <w:rPr>
          <w:b/>
        </w:rPr>
        <w:t>E. 7</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esso versati a suo tempo. Non vi sono poi i presupposti per l'assegnazione al ricorrente di 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