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A-3203/2022 vom 13. Mai 2024</w:t>
      </w:r>
    </w:p>
    <w:p>
      <w:r>
        <w:t>Bundesverwaltungsgericht, 2024-05-13, IT</w:t>
      </w:r>
    </w:p>
    <w:p>
      <w:r>
        <w:rPr>
          <w:b/>
        </w:rPr>
        <w:t xml:space="preserve">Quelle: </w:t>
      </w:r>
      <w:r>
        <w:t>https://mcp.opencaselaw.ch/entscheid/bvger_A-3203_2022</w:t>
      </w:r>
    </w:p>
    <w:p>
      <w:r>
        <w:t>FR: TAF A-3203/2022 du 13 mai 2024</w:t>
      </w:r>
    </w:p>
    <w:p>
      <w:r>
        <w:t>IT: TAF A-3203/2022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28 giugno 2022 dell'autorità inferiore, con cui quest'ultima ha accolto la domanda raggruppata italiana di assistenza amministrativa del 23 novembre 2018, per quanto concerne la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della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la ricorrente censura innanzitutto l'irricevibilità della domanda di assistenza italiana (cfr. ricorso del 22 luglio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 F._______ nel suo parere legale (cfr. atto n. 43 pag. 9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della ricorrente - il perito stesso avrebbe dichiarato come inammissibile (cfr. atto n. 43 inc. AFC, pag. 13). In sintesi, la domanda di assistenza sarebbe da respingere in quanto contra legem.</w:t>
      </w:r>
    </w:p>
    <w:p>
      <w:r>
        <w:rPr>
          <w:b/>
        </w:rPr>
        <w:t>E. 4.2.5</w:t>
      </w:r>
    </w:p>
    <w:p>
      <w:r>
        <w:t>Successivamente, l'insorgente lamenta l'irritualità delle indagini dell'AFC (cfr. ricorso del 22 luglio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della qui ricorrente. In merito alle risultanze sulle quali si fonda poi la domanda, queste farebbero emergere un risultato - a dire della ricorrente - insoddisfacente: non risulterebbe infatti che lo scritto B._______ 3 febbraio 2014 sia mai stato allestito e inviato ai clienti della banca, tra cui la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della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la ricorrente chiede - in via subordinata - che la decisione venga « annullata e che tutti gli atti vengano rinviati all'AFC per effettuare le indagini richieste dalla Parte qui ricorrente ».</w:t>
      </w:r>
    </w:p>
    <w:p>
      <w:r>
        <w:rPr>
          <w:b/>
        </w:rPr>
        <w:t>E. 4.2.6</w:t>
      </w:r>
    </w:p>
    <w:p>
      <w:r>
        <w:t>La ricorrente censura poi l'assenza dei requisiti di « Aufforderung » (cfr. ricorso del 22 luglio 2022, punti n. 38-43). Più precisamente, l'insorgente critica il contenuto della lettera 20 febbraio 2015. La formulazione di tale scritto sarebbe infatti diversa da quella della lettera che G._______ aveva inviato ai suoi clienti con recapito in Olanda, motivo per cui - a dire della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della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 22 luglio 2022, punti n. 44-47). A dire della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della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recalcitrant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della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la ricorrente produce un parere legale datato 5 maggio 2020 da F._______ (cfr. atto n. 43 inc. AFC, pag. 9; cfr. ricorso del 22 luglio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F._______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della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expedition ». Infatti, ella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 22 luglio 2022, punto n. 34).</w:t>
      </w:r>
    </w:p>
    <w:p>
      <w:r>
        <w:rPr>
          <w:b/>
        </w:rPr>
        <w:t>E. 4.2.10</w:t>
      </w:r>
    </w:p>
    <w:p>
      <w:r>
        <w:t>Sennonché tali censure non possono che essere qui respinte. Gli argomenti sollevati dalla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la ricorrente allorquando questa ritiene - contrariamente a quanto stabilito dal Tribunale federale - che la domanda non sia conforme al diritto e più precisamente alla CDI CH-IT.</w:t>
      </w:r>
    </w:p>
    <w:p>
      <w:r>
        <w:rPr>
          <w:b/>
        </w:rPr>
        <w:t>E. 4.2.11</w:t>
      </w:r>
    </w:p>
    <w:p>
      <w:r>
        <w:t>Per quanto attiene in maniera più specifica al parere di F._______ (cfr. atto n. 43 inc. AFC) prodotto dalla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la ricorrente allorquando ella ritiene - contrariamente a quanto stabilito dal Tribunale federale - che la domanda non sia conforme alla CDI CH-IT. In tal senso, il parere di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la ricorrente rientri o meno nel modello di comportamento (lecitamente) ivi descritto dall'autorità richiedente italiana. Ora, la ricorrente contesta il suo statuto quale contribuente fiscale recalcitrante (cfr. ricorso del 22 luglio 2022, punti n. 29-37; replica spontanea del 24 ottobre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della ricorrente, ella sarebbe stata - a suo dire - impossibilitata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la ricorrente era titolare di un conto bancario presso la banca B._______/C._______. È poi incontestato ch'ella abbia preso conoscenza della lettera 20 febbraio 2015 della predetta banca. Dal doc. 18.2 emerge infatti chiaramente come in tale rapporto la banca abbia indicato che « We certify that at least one year has passed between the filing of our letter of Feb 20, 2015 in the Hold Mail System and the closure of the banking relationship concerned respectively the production order of March 29, 2019 ». Come indicato al consid. 4.2.1.2 del presente giudizio, nel caso di un « fermo banca » (ossia la trattenuta della corrispondenza presso la banca a disposizione del cliente), si può partire dal presupposto che un cliente della banca consulti regolarmente la propria corrispondenza bancaria, in ogni caso nel termine di un anno. In tali circostanze, vi è dunque motivo di presumere che la ricorrente abbia avuto conoscenza di detto scritto e abbia tuttavia scelto di non reagire a detta lettera comprovando la sua conformità fiscale, sicché la stessa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la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dalla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https://www.sif.admin.ch/sif/it/home/documentazione/informazioni-specifiche/oecd_musterabkommen.html [visitato il 18 aprile 2024]),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della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versati a suo tempo. Non vi sono poi i presupposti per l'assegnazione alla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