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A-3155/2019 vom 15. Oktober 2019</w:t>
      </w:r>
    </w:p>
    <w:p>
      <w:r>
        <w:t>Bundesverwaltungsgericht, 2019-10-15, DE</w:t>
      </w:r>
    </w:p>
    <w:p>
      <w:r>
        <w:rPr>
          <w:b/>
        </w:rPr>
        <w:t xml:space="preserve">Quelle: </w:t>
      </w:r>
      <w:r>
        <w:t>https://mcp.opencaselaw.ch/entscheid/bvger_A-3155_2019</w:t>
      </w:r>
    </w:p>
    <w:p>
      <w:r>
        <w:t>FR: TAF A-3155/2019 du 15 octobre 2019</w:t>
      </w:r>
    </w:p>
    <w:p>
      <w:r>
        <w:t>IT: TAF A-3155/2019 del 15 ottobre 2019</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grundsätzlich anfechtbar (Art. 37 Abs. 1 des Bundesgesetzes über die Eidgenössischen Technischen Hochschulen vom 4. Oktober 1991 [ETH-Gesetz, SR 414.110] in Verbindung mit Art. 33 Bst. f VGG). Eine Ausnahme, was das Sachgebiet angeht, ist nicht gegeben (Art. 32 VGG).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des angefochtenen Urteils vom 30. April 2019 und durch dieses auch materiell beschwert. Sie ist deshalb zur Erhebung der vorliegenden Beschwerde legitimiert.</w:t>
      </w:r>
    </w:p>
    <w:p>
      <w:r>
        <w:rPr>
          <w:b/>
        </w:rPr>
        <w:t>E. 1.3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1.4</w:t>
      </w:r>
    </w:p>
    <w:p>
      <w:r>
        <w:t>Die Beschwerde wurde frist- und formgerecht (vgl. Art. 50 und Art. 52 VwVG) eingereicht.</w:t>
      </w:r>
    </w:p>
    <w:p>
      <w:r>
        <w:rPr>
          <w:b/>
        </w:rPr>
        <w:t>E. 2</w:t>
      </w:r>
    </w:p>
    <w:p>
      <w:r>
        <w:t>Vorab ist zu klären, ob die Medienmitteilung der Beschwerdegegnerin vom (...) ein taugliches Anfechtungsobjekt im vorinstanzlichen Verfahren darstellte. Sollte dies nicht der Fall sein, wäre die Vorinstanz zu Unrecht auf das diesbezügliche Rechtsbegehren eingetreten.</w:t>
      </w:r>
    </w:p>
    <w:p>
      <w:r>
        <w:rPr>
          <w:b/>
        </w:rPr>
        <w:t>E. 2.1</w:t>
      </w:r>
    </w:p>
    <w:p>
      <w:r>
        <w:t>Eine Verwaltungshandlung ist dann als Verfügung zu qualifizieren, wenn das Handlungsziel der Behörde die bewusste, ausdrückliche und verbindliche Gestaltung der Rechtsstellung der Betroffenen ist. Demgegenüber erzeugen Realakte keine Rechtswirkungen im Sinne von Art. 5 VwVG; sie sind auf einen tatsächlichen Erfolg gerichtet und verändern lediglich die Faktenlage (vgl. BGE 140 II 315 E. 4.3; Markus Müller, in: Auer/Müller/Schindler [Hrsg.], Kommentar zum Bundesgesetz über das Verwaltungsverfahren [VwVG], 2. Aufl. 2019 [fortan: Kommentar VwVG], Art. 5 Rz. 77; Felix Uhlmann, in: Waldmann/Weissenberger [Hrsg.], Praxiskommentar Verwaltungsverfahrensgesetz, 2. Aufl. 2016 [fortan: Praxiskommentar VwVG], Art. 5 Rz. 97 f.). Liegt ein Realakt vor, ist zuerst eine Verfügung nach Art. 25a VwVG zu verlangen. Wer ein schutzwürdiges Interesse hat und in seinen Rechten und Pflichten berührt ist, kann von der Behörde, die für Handlungen zuständig ist, welche sich auf öffentliches Recht des Bundes stützen, die Feststellung der Widerrechtlichkeit von Handlungen verlangen (Art. 25a Abs. 1 Bst. c VwVG; vgl. Weber-Dürler/Kunz-Notter, Kommentar VwVG, Art. 25a Rz. 21). Die Behörde entscheidet durch Verfügung (Art. 25a Abs. 2 VwVG).</w:t>
      </w:r>
    </w:p>
    <w:p>
      <w:r>
        <w:rPr>
          <w:b/>
        </w:rPr>
        <w:t>E. 2.2</w:t>
      </w:r>
    </w:p>
    <w:p>
      <w:r>
        <w:t>Die vorliegende Medienmitteilung der Beschwerdegegnerin vom (...) dient der blossen Information über die Einleitung eines Entlassungsverfahrens gemäss Verfügung vom (...). Sie ist nicht auf die Gestaltung der Rechtsstellung der Beschwerdeführerin gerichtet. Folglich kann die Medienmitteilung vom (...) keine Verfügung im Sinne von Art. 5 VwVG darstellen. Vielmehr handelt es sich dabei um einen Realakt (vgl. Urteile des BVGer A-5323/2012 vom 6. November 2012 und B-19/2012 vom 11. Januar 2012; Isabelle Häner, Praxiskommentar VwVG, Art. 25a Rz. 7; Weber-Dürler/Kunz-Notter, a.a.O., Art. 25a Rz. 13).</w:t>
      </w:r>
    </w:p>
    <w:p>
      <w:r>
        <w:rPr>
          <w:b/>
        </w:rPr>
        <w:t>E. 2.3</w:t>
      </w:r>
    </w:p>
    <w:p>
      <w:r>
        <w:t>Die Beschwerdeführerin wendet ein, die Verfügung vom (...) und die Medienmitteilung vom (...) seien eng miteinander verbunden und deshalb zusammen zu behandeln.</w:t>
      </w:r>
    </w:p>
    <w:p>
      <w:r>
        <w:rPr>
          <w:b/>
        </w:rPr>
        <w:t>E. 2.3.1</w:t>
      </w:r>
    </w:p>
    <w:p>
      <w:r>
        <w:t>Während die Verfügung vom (...) die Einsetzung einer Kommission im Kündigungsverfahren betrifft, rügt die Beschwerdeführerin im Zusammenhang mit der Medienmitteilung vom (...) eine Verletzung ihrer Persönlichkeitsrechte. Entgegen der Auffassung der Beschwerdeführerin handelt es sich hierbei gerade nicht um einen «einheitlichen Streitgegenstand», sondern um zwei unterschiedliche und voneinander unabhängige Fragen. Die Medienmitteilung informiert zwar unter anderem über den Inhalt der Verfügung vom (...). Die Rechtmässigkeit einer Medienmitteilung ist jedoch grundsätzlich unabhängig von der Frage der Rechtmässigkeit der Verfügung, über die mit der Medienmitteilung informiert wird. Eine gemeinsame Behandlung der Verfügung betreffend Einsetzung einer Kommission im Kündigungsverfahren und der Medienmitteilung drängt sich deshalb auch insofern nicht auf.</w:t>
      </w:r>
    </w:p>
    <w:p>
      <w:r>
        <w:rPr>
          <w:b/>
        </w:rPr>
        <w:t>E. 2.3.2</w:t>
      </w:r>
    </w:p>
    <w:p>
      <w:r>
        <w:t>Die Beschwerdeführerin macht zudem geltend, es führe zu einer unnötigen Komplizierung des Beschwerdeverfahrens, wenn von ihr verlangt werde, von der Beschwerdegegnerin eine Verfügung betreffend die Medienmitteilung vom (...) zu verlangen. Dem Einwand der Beschwerdeführerin kann nicht gefolgt werden. Im Gegenteil führt eine separate Verfügung zu einer Vereinfachung der Verfahren, da jede Frage (Rechtmässigkeit der Medienmitteilung vom [...] resp. der Verfügung vom [...]) jeweils getrennt in einem eigenen Verfahren behandelt werden kann. Auch an dieser Stelle verfängt das Argument des vermeintlich engen Sachzusammenhangs nicht (vgl. E. 2.3.1).</w:t>
      </w:r>
    </w:p>
    <w:p>
      <w:r>
        <w:rPr>
          <w:b/>
        </w:rPr>
        <w:t>E. 2.4</w:t>
      </w:r>
    </w:p>
    <w:p>
      <w:r>
        <w:t>Aus dem Gesagten folgt, dass es sich bei der Medienmitteilung der Beschwerdegegnerin vom (...) nicht um eine anfechtbare Verfügung, sondern einen Realakt handelt. Folglich obliegt es gemäss Art. 25a Abs. 1 Bst. c VwVG grundsätzlich der Beschwerdeführerin, von der Behörde, welche für auf öffentliches Recht gestützte Handlungen zuständig ist (im vorliegenden Fall die Beschwerdegegnerin), eine Verfügung betreffend die Widerrechtlichkeit einer Handlung zu verlangen. Erst mit der entsprechenden Verfügung der Beschwerdegegnerin liegt ein taugliches Anfechtungsobjekt vor, womit die Beschwerde an die Vorinstanz offensteht (vgl. Moser/Beusch/Kneubühler, Prozessieren vor dem Bundesverwaltungsgericht, 2. Aufl. 2013, Rz. 2.39).</w:t>
      </w:r>
    </w:p>
    <w:p>
      <w:r>
        <w:rPr>
          <w:b/>
        </w:rPr>
        <w:t>E. 2.5</w:t>
      </w:r>
    </w:p>
    <w:p>
      <w:r>
        <w:t>Da keine Verfügung der Beschwerdegegnerin im Sinne von Art. 5 VwVG vorlag, war die Vorinstanz mangels Anfechtungsobjekt funktionell nicht zuständig, über die Rechtsbegehren der Beschwerdeführerin betreffend die Medienmitteilung vom (...) zu befinden. Stattdessen hätte die Vorinstanz die Sache aufgrund ihrer Unzuständigkeit ohne Verzug an die Beschwerdegegnerin überweisen müssen (Art. 8 Abs. 1 VwVG).</w:t>
      </w:r>
    </w:p>
    <w:p>
      <w:r>
        <w:rPr>
          <w:b/>
        </w:rPr>
        <w:t>E. 2.6</w:t>
      </w:r>
    </w:p>
    <w:p>
      <w:r>
        <w:t>Fehlerhafte Entscheide sind nichtig, wenn der ihnen anhaftende Mangel besonders schwer ist, wenn er sich als offensichtlich oder zumindest leicht erkennbar erweist und die Rechtssicherheit durch die Annahme der Nichtigkeit nicht ernsthaft gefährdet wird. Als Nichtigkeitsgründe fallen vorab funktionelle und sachliche Unzuständigkeit der entscheidenden Behörde sowie krasse Verfahrensfehler in Betracht (BGE 145 IV 197 E. 1.3.2, 144 IV 362 E. 1.4.3; Urteil des BGer 2C_72/2016 vom 3. Juni 2016 E. 5.1). Dementsprechend ist das angefochtene Urteil - soweit es die Medienmitteilung vom (...) betrifft (Dispositivziffern 2 und 5) - aufgrund der funktionellen Unzuständigkeit der Vorinstanz nichtig. Eine Gefährdung der Rechtssicherheit besteht nicht.</w:t>
      </w:r>
    </w:p>
    <w:p>
      <w:r>
        <w:rPr>
          <w:b/>
        </w:rPr>
        <w:t>E. 2.7</w:t>
      </w:r>
    </w:p>
    <w:p>
      <w:r>
        <w:t>Die Nichtigkeit des Urteils vom 30. April 2019 betreffend die Medienmitteilung vom (...) (Dispositivziffern 2 und 5) hat zur Folge, dass es auch im Verfahren vor Bundesverwaltungsgericht an einem tauglichen Anfechtungsobjekt fehlt. Deshalb ist auf die vorliegende Beschwerde nicht einzutreten (vgl. BVGE 2013/51 E. 3.1; Müller/Bieri, Kommentar VwVG, Art. 44 Rz. 1).</w:t>
      </w:r>
    </w:p>
    <w:p>
      <w:r>
        <w:rPr>
          <w:b/>
        </w:rPr>
        <w:t>E. 3</w:t>
      </w:r>
    </w:p>
    <w:p>
      <w:r>
        <w:t>Die Beschwerdeführerin beantragt im Übrigen die Feststellung, dass die Pressemitteilung der Beschwerdegegnerin vom (...) über die Einleitung des Kündigungsverfahrens ihre Persönlichkeitsrechte verletzt habe. Wie vorstehend erwähnt (vgl. E. 2.1) ist das Begehren um Feststellung einer widerrechtlichen Handlung gemäss Art. 25a Abs. 1 Bst. c VwVG an die Behörde zu richten, die für Handlungen zuständig ist, welche sich auf öffentliches Recht des Bundes stützen. Folglich ist das Bundesverwaltungsgericht nicht zuständig, das Feststellungsbegehren der Beschwerdeführerin (Antrag 2) zu behandeln. Das Begehren ist gemäss Art. 8 Abs. 1 VwVG an die Beschwerdegegnerin zu überweisen.</w:t>
      </w:r>
    </w:p>
    <w:p>
      <w:r>
        <w:rPr>
          <w:b/>
        </w:rPr>
        <w:t>E. 4.1</w:t>
      </w:r>
    </w:p>
    <w:p>
      <w:r>
        <w:t>Tritt das Bundesverwaltungsgericht auf eine Beschwerde nicht ein, weil sich die angefochtene Verfügung als nichtig erwiesen hat, berücksichtigt es dies regelmässig bei der Festlegung der Verfahrenskosten (Art. 63 VwVG; vgl. Urteile des BVGer A-91/2018 vom 6. Februar 2019 E. 11.1 und A-2949/2017 vom 13. Juni 2018 E. 4.1; Marcel Maillard, Praxiskommentar VwVG, Art. 63 Rz. 17). Da die Vorinstanz den Erlass der nichtigen Verfügung zu vertreten hat und die Beschwerdeführerin ein Interesse an deren Anfechtung hatte, ist auf die Erhebung von Verfahrenskosten von der Beschwerdeführerin zu verzichten. Der Vorinstanz können keine Verfahrenskosten auferlegt werden (Art. 63 Abs. 2 VwVG).</w:t>
      </w:r>
    </w:p>
    <w:p>
      <w:r>
        <w:rPr>
          <w:b/>
        </w:rPr>
        <w:t>E. 4.2</w:t>
      </w:r>
    </w:p>
    <w:p>
      <w:r>
        <w:t>Die Zusprechung einer Parteientschädigung für erwachsene notwendige und verhältnismässig hohe Kosten setzt in der Regel voraus, dass die Partei ganz oder teilweise obsiegt hat (Art. 64 Abs. 1 VwVG; Art. 7 ff. des Reglementes über die Kosten und Entschädigungen vor dem Bundesverwaltungsgericht vom 21. Februar 2008, VGKE, SR 173.320.2; Marcel Maillard, a.a.O., Art. 64 Rz. 16). Indessen kann ein Anspruch auf Parteientschädigung auch dann entstehen, wenn sich ein Beschwerdeführer in guten Treuen zur Prozessführung veranlasst sehen konnte (vgl. Marcel Maillard, a.a.O., Art. 64 Rz. 21). Da die Vorinstanz die nichtige Verfügung zu vertreten hat und sich die Beschwerdeführerin veranlasst sehen durfte, Beschwerde einzureichen, ist ihr eine Parteientschädigung zuzusprechen. Da keine Kostennote eingereicht wurde, setzt das Gericht die Entschädigung auf Grund der Akten auf CHF 2'000.- fest. Die Entschädigung ist der Vorinstanz aufzuerlegen (Art. 64 Abs. 2 VwVG), da diese für den Erlass der nichtigen Verfügung verantwortlich zeichnet und die Beschwerdeführerin damit zum Beschreiten des Rechtsweges veranlasst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