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A-3139/2017 vom 30. Januar 2019</w:t>
      </w:r>
    </w:p>
    <w:p>
      <w:r>
        <w:t>Bundesverwaltungsgericht, 2019-01-30, FR</w:t>
      </w:r>
    </w:p>
    <w:p>
      <w:r>
        <w:rPr>
          <w:b/>
        </w:rPr>
        <w:t xml:space="preserve">Quelle: </w:t>
      </w:r>
      <w:r>
        <w:t>https://mcp.opencaselaw.ch/entscheid/bvger_A-3139_2017</w:t>
      </w:r>
    </w:p>
    <w:p>
      <w:r>
        <w:t>FR: TAF A-3139/2017 du 30 janvier 2019</w:t>
      </w:r>
    </w:p>
    <w:p>
      <w:r>
        <w:t>IT: TAF A-3139/2017 del 30 gennaio 2019</w:t>
      </w:r>
    </w:p>
    <w:p>
      <w:pPr>
        <w:pStyle w:val="Heading2"/>
      </w:pPr>
      <w:r>
        <w:t>Regeste</w:t>
      </w:r>
    </w:p>
    <w:p>
      <w:r>
        <w:t>Installations intérieures</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 art. 37 LTAF) n'en dispose pas autrement. Le Tribunal examine d'office et librement sa compétence (art. 7 al. 1 PA) et la recevabilité des recours qui lui sont soumis.</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suisse des électriciens (ASE) soumis à la surveillance du Département fédéral de l'environnement, des transports, de l'énergie et de la communication (DETEC), est l'autorité de contrôle désignée par le Conseil fédéral au sens du ch. 2 de cette disposition (art. 1er de l'ordonnance du 7 décembre 1992 sur l'ESTI [OIFICF, RS 734.24]). Sa décision du 10 mai 2017 satisfait aux conditions posées par l'art. 5 de la loi fédérale du 20 décembre 1968 sur la procédure administrative (PA, RS 173.32). Partant, le Tribunal de céans est compétent pour connaître du litige.</w:t>
      </w:r>
    </w:p>
    <w:p>
      <w:r>
        <w:rPr>
          <w:b/>
        </w:rPr>
        <w:t>E. 1.2</w:t>
      </w:r>
    </w:p>
    <w:p>
      <w:r>
        <w:t>Déposé en temps utile par le destinataire de la décision attaquée qui lui fait grief (art. 22 ss, 48 et 50 PA), le recours répond pour le surplus aux exigences de forme et de contenu prévues par l'art. 52 PA. Il est donc recevable.</w:t>
      </w:r>
    </w:p>
    <w:p>
      <w:r>
        <w:rPr>
          <w:b/>
        </w:rPr>
        <w:t>E. 2</w:t>
      </w:r>
    </w:p>
    <w:p>
      <w:r>
        <w:t>L'objet du litige consiste à déterminer si la décision de l'autorité inférieure du 10 mai 2017, qui constate que le recourant n'a pas transmis les rapports de sécurité à B._______ SA dans les délais impartis et en déduit des conséquences juridiques, est bien fondée en droit.</w:t>
      </w:r>
    </w:p>
    <w:p>
      <w:r>
        <w:rPr>
          <w:b/>
        </w:rPr>
        <w:t>E. 3.1</w:t>
      </w:r>
    </w:p>
    <w:p>
      <w:r>
        <w:t>Le Tribunal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entreprise (art. 49 PA). Il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w:t>
      </w:r>
    </w:p>
    <w:p>
      <w:r>
        <w:rPr>
          <w:b/>
        </w:rPr>
        <w:t>E. 3.2</w:t>
      </w:r>
    </w:p>
    <w:p>
      <w:r>
        <w:t>A l'appui de leurs prétentions, les parties ont la charge d'alléguer les faits propres à les fonder. La maxime inquisitoire ne les décharge pas du fardeau de l'allégation. Les parties sont en effet tenues de collaborer à la constatation des faits et, par suite, elles supportent le fardeau de la preuve des faits qu'elles allèguent (art. 13 PA ; cf. arrêt du Tribunal fédéral 1C_604/2014 du 12 mai 2015 consid. 3.2.2 ; arrêt du Tribunal administratif fédéral A-6798/2013 du 5 novembre 2014 consid. 4.4.1). A cet égard, le fardeau de l'allégation signifie que chaque partie doit expliciter de manière suffisamment précise les faits qu'elle entend établir au moyen de la preuve correspondante (Jérôme Candrian, Introduction à la procédure administrative fédérale, 2013, Bâle, p. 43). Dans le même sens, l'administré qui adresse une demande à l'administration dans son propre intérêt doit la motiver et apporter les éléments en sa possession permettant d'établir la preuve des faits dont il se prévaut (ATF 132 III 731 consid. 3.5).</w:t>
      </w:r>
    </w:p>
    <w:p>
      <w:r>
        <w:rPr>
          <w:b/>
        </w:rPr>
        <w:t>E. 4</w:t>
      </w:r>
    </w:p>
    <w:p>
      <w:r>
        <w:t>Les faits qui constituent l'objet du recours, à la base de la décision attaquée du 10 mai 2017, se sont déroulés avant l'entrée en vigueur le 1er janvier 2018 de la nouvelle version de la LIE et de l'ordonnance du 7 novembre 2001 sur les installations électriques à basse tension (OIBT, RS 734.27). Il convient donc de déterminer le droit applicable au cas d'espèce.</w:t>
      </w:r>
    </w:p>
    <w:p>
      <w:r>
        <w:rPr>
          <w:b/>
        </w:rPr>
        <w:t>E. 4.1</w:t>
      </w:r>
    </w:p>
    <w:p>
      <w:r>
        <w:t>Les dispositions transitoires de ces deux textes ne répondent pas directement à cette question, et il est donc nécessaire de se référer aux règles de la jurisprudence qui, conformément au principe de la sécurité juridique, prévoient que la légalité d'un acte administratif doit toujours être appréciée au vu de la situation juridique matérielle au moment de son prononcé (cf. ATF 141 II 393 consid. 2.4 ; également arrêt du Tribunal administratif fédéral A-1700/2017 du 25 avril 2018 consid. 3.2). Cependant, une nouvelle loi plus restrictive peut s'appliquer aux recours pendants si elle a été promulguée pour des motifs d'ordre public ou s'il existe des raisons impérieuses de l'appliquer immédiatement, la légalité l'emportant alors sur la sécurité juridique. En outre, selon le principe de la « lex mitior », une nouvelle loi plus favorable au justiciable devrait toujours être prise en compte (cf. ATF 129 II 497 consid. 5.3.2).</w:t>
      </w:r>
    </w:p>
    <w:p>
      <w:r>
        <w:rPr>
          <w:b/>
        </w:rPr>
        <w:t>E. 4.2</w:t>
      </w:r>
    </w:p>
    <w:p>
      <w:r>
        <w:t>En l'occurrence, les dispositions qui s'appliquent au cas d'espèce n'ont été modifiées que formellement depuis l'entrée en vigueur des nouveaux textes, le 1er janvier 2018. Il n'existe cependant aucun motif d'ordre public ou raison impérieuse justifiant l'applicabilité immédiate du nouveau droit à la situation du recourant. Le principe de la lex mitior ne s'appliquant pas en l'occurrence, il convient de baser le raisonnement juridique sur l'ancien droit, dans la version en vigueur à la date où le recours a été déposé, soit le 1er juin 2017.</w:t>
      </w:r>
    </w:p>
    <w:p>
      <w:r>
        <w:rPr>
          <w:b/>
        </w:rPr>
        <w:t>E. 5</w:t>
      </w:r>
    </w:p>
    <w:p>
      <w:r>
        <w:t>Le litige s'inscrit dans le cadre juridique suivant.</w:t>
      </w:r>
    </w:p>
    <w:p>
      <w:r>
        <w:rPr>
          <w:b/>
        </w:rPr>
        <w:t>E. 5.1</w:t>
      </w:r>
    </w:p>
    <w:p>
      <w:r>
        <w:t>Aux termes de l'art. 20 al. 1 aLIE, la surveillance des installations électriques et de leur bon état d'entretien incombe à l'exploitant (propriétaire, locataire, etc.). Le Conseil fédéral édicte des prescriptions en vue de prévenir les dangers et dommages causés par les installations à faible et fort courant, conformément à l'art. 3 al. 1 aLIE. A teneur de l'art. 3 al. 1 aOIBT,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Aux termes de l'art. 4 al. 1 aOIBT, les installations électriques doivent, sauf difficultés extraordinaires, être établies, modifiées et entretenues de façon à ne pas perturber exagérément l'utilisation correcte d'autres installations électriques. Enfin, selon l'art. 5 al. 1 aOIBT, il appartient au propriétaire ou à un représentant désigné par lui de veiller à ce que l'installation électrique réponde en tout temps aux exigences des art. 3 et 4 aOIBT. Dans ce but, l'ordonnance précitée impose notamment un contrôle périodique de l'installation (art. 36 aOIBT).</w:t>
      </w:r>
    </w:p>
    <w:p>
      <w:r>
        <w:rPr>
          <w:b/>
        </w:rPr>
        <w:t>E. 5.2</w:t>
      </w:r>
    </w:p>
    <w:p>
      <w:r>
        <w:t>Conformément à l'art. 36 al. 1 aOIBT, six mois au moins avant l'expiration d'une période de contrôle, les exploitants de réseau invitent par écrit le propriétaire à leur remettre, avant la fin de la période, un rapport de sécurité de l'installation - qu'il devra faire établir à ses frais par un organe de contrôle indépendant ou un organisme d'inspection accrédité (art. 32 al. 1 aOIBT)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l'Inspection (ESTI) (art. 36 al. 3 aOIBT). De jurisprudence constante, le propriétaire de l'installation est seul responsable de l'envoi du rapport de sécurité dans le délai imparti à l'exploitant de réseau (art. 5 al. 1 2ème phrase aOIBT en relation avec l'art. 36 al. 1 aOIBT). En cas d'inexécution ou d'exécution tardive, il doit en assumer les conséquences (arrêts du Tribunal administratif fédéral A-2961/2017 du 26 octobre 2018 consid. 4, A-5062/2017 du 10 janvier 2018 consid. 3.4, A-2340/2016 du 30 août 2016 consid. 3). Lorsque l'affaire est transmise à l'ESTI, cette dernière peut encore rendre une décision soumise à émolument, et, en cas d'insoumission à ladite décision, avertir l'intéressé qu'il s'expose à une amende (art. 56 al. 1 LIE en relation avec l'art. 41 al. 2 PA ; arrêt du Tribunal administratif fédéral A-5062/2017 du 10 janvier 2018 consid. 3.4).</w:t>
      </w:r>
    </w:p>
    <w:p>
      <w:r>
        <w:rPr>
          <w:b/>
        </w:rPr>
        <w:t>E. 6</w:t>
      </w:r>
    </w:p>
    <w:p>
      <w:r>
        <w:t>L'application du droit ainsi défini au litige conduit à ne pas pouvoir soutenir les griefs du recourant.</w:t>
      </w:r>
    </w:p>
    <w:p>
      <w:r>
        <w:rPr>
          <w:b/>
        </w:rPr>
        <w:t>E. 6.1</w:t>
      </w:r>
    </w:p>
    <w:p>
      <w:r>
        <w:t>A cet égard, il convient de retenir avec l'autorité inférieure que, le 9 juillet 2014, l'exploitant de réseau a demandé au recourant de lui transmettre les rapports de sécurité des installations électriques pour les compteurs nos (...) du rural sis à (...). Sa sollicitation étant restée sans réponse, l'exploitant de réseau a envoyé deux rappels le 18 mars 2015 et le 24 novembre 2015, sans plus de succès. Suite à la transmission du dossier à l'autorité inférieure, cette dernière a sommé une première fois le recourant de s'exécuter jusqu'au 31 mars 2017, l'avertissant qu'une décision soumise à émolument serait rendue dans le cas contraire. Dite décision a été rendue le 10 mai 2017 et l'autorité inférieure a fixé au recourant un ultime délai jusqu'au 10 juillet 2017. Il n'est pas contesté que les documents demandés ont finalement été transmis en date du 23 mai 2017 à l'exploitant de réseau, soit après la date de la décision attaquée.</w:t>
      </w:r>
    </w:p>
    <w:p>
      <w:r>
        <w:rPr>
          <w:b/>
        </w:rPr>
        <w:t>E. 6.2</w:t>
      </w:r>
    </w:p>
    <w:p>
      <w:r>
        <w:t>Le recourant, de son côté, avance, copies à l'appui, que le contrôleur des installations (C._______) lui a confirmé avoir procédé selon l'usage et transmis les rapports par courrier postal prioritaire à la société D._______ SA en date du 4 mars 2015, soit dans le délai imparti par le premier rappel. De ce fait, le recourant ne serait pas responsable de la non-transmission desdits rapports à l'exploitant de réseau.</w:t>
      </w:r>
    </w:p>
    <w:p>
      <w:r>
        <w:rPr>
          <w:b/>
        </w:rPr>
        <w:t>E. 6.3</w:t>
      </w:r>
    </w:p>
    <w:p>
      <w:r>
        <w:t>Avant toute chose, il sied de relever que le rôle de l'entreprise D._______ SA dans la présente affaire n'est pas clair. D'un côté, l'autorité inférieure estime, dans sa réponse au recours, que cette société a été mandatée par le recourant. Ce dernier affirme cependant, dans ses observations finales, que c'est l'exploitant de réseau qui a mandaté D._______ SA. Cette question peut cependant rester ouverte vu ce qui suit, la responsabilité de fournir les rapports de sécurité incombant au recourant uniquement. En effet, comme exposé (cf. consid. 5.2 supra), il est de jurisprudence constante que le propriétaire de l'installation est seul responsable de l'envoi à l'exploitant de réseau du rapport de sécurité dans les délais impartis (art. 5 al. 1 2ème phrase en relation avec l'art. 36 al. 1 aOIBT) et qu'il doit, de ce fait, assumer seul les conséquences d'une inexécution ou d'une exécution tardive de cette obligation. En l'occurrence, même si C._______ ou D._______ SA n'ont pas fourni tout document utile dans les temps, le recourant n'est pas pour autant libéré de ses obligations. Il importe donc peu que la première citée précise dans sa lettre du 12 septembre 2017 avoir transmis immédiatement le document à D._______ SA suite au contrôle du 15 octobre 2014. En effet, le recourant aurait dû malgré tout s'enquérir que celle(s)-ci s'en étai(en)t occupée(s) à temps. Même si un manque de diligence de la part de l'une de ces deux sociétés ne peut être totalement exclu, c'est à tort que le recourant s'est entièrement reposé sur leurs déclarations. En outre, aucune preuve au dossier (par exemple, un récépissé) ne permet de déterminer que l'exploitant de réseau a bel et bien reçu les rapports de sécurité dans les temps. Vu ce qui précède, le fardeau de la preuve concernant la transmission de ces documents incombait dans ce cas au recourant (cf. consid. 3.2 supra). Ceux-ci ont été envoyés et réceptionnés par l'exploitant de réseau en date du 23 mai 2017 seulement, soit bien après les nombreux délais fixés en amont. Le Tribunal considère que le recourant n'a ainsi pas réussi à apporter la preuve d'une transmission dans les temps. Pour le surplus, l'argument du recourant concernant les erreurs, pour le moins minimes, présentes dans son dossier ne lui permet en tout cas pas de s'affranchir de sa responsabilité liée à la transmission dans les délais des rapports de sécurité.</w:t>
      </w:r>
    </w:p>
    <w:p>
      <w:r>
        <w:rPr>
          <w:b/>
        </w:rPr>
        <w:t>E. 6.4</w:t>
      </w:r>
    </w:p>
    <w:p>
      <w:r>
        <w:t>Sur le vu de ce qui précède, c'est à bon droit que l'autorité inférieure a rendu une décision pour exécution du contrôle soumise à émolument, comme annoncé préalablement.</w:t>
      </w:r>
    </w:p>
    <w:p>
      <w:r>
        <w:rPr>
          <w:b/>
        </w:rPr>
        <w:t>E. 7</w:t>
      </w:r>
    </w:p>
    <w:p>
      <w:r>
        <w:t>Enfin, le montant de l'émolument fixé à 700 francs par l'autorité inférieure et mis à la charge du recourant ne prête pas flanc à la critique. Pour rappel, l'émolument en question ne constitue pas une amende, mais uniquement une somme, soumise au large pouvoir d'appréciation de l'ESTI dans le cadre légal, destinée à couvrir les frais d'établissement de la décision attaquée (art. 9 al. 1 2ème phrase OIFICF en relation avec l'art. 41 aOIBT ; arrêt du Tribunal administratif fédéral A-190/2013 du 27 mai 2013 consid. 4). Le montant ici en cause se situe au niveau inférieur de l'échelle (max. 3'000 francs) prévue à l'art. 9 al. 1 OIFICF. La décision doit être confirmée sur ce point également.</w:t>
      </w:r>
    </w:p>
    <w:p>
      <w:r>
        <w:rPr>
          <w:b/>
        </w:rPr>
        <w:t>E. 8</w:t>
      </w:r>
    </w:p>
    <w:p>
      <w:r>
        <w:t>Il s'ensuit que le recours est mal fondé et qu'il doit être rejeté.</w:t>
      </w:r>
    </w:p>
    <w:p>
      <w:r>
        <w:rPr>
          <w:b/>
        </w:rPr>
        <w:t>E. 9</w:t>
      </w:r>
    </w:p>
    <w:p>
      <w:r>
        <w:t>En application de l'art. 63 al. 1 PA et de l'art. 4 du règlement du 21 février 2008 concernant les frais, les dépens et indemnités fixés par le Tribunal administratif fédéral (FITAF, RS 173.320.2), les frais de procédure, arrêtés à 800 francs, sont mis à la charge du recourant. Ils sont prélevés sur le montant équivalent de l'avance de frais déjà versée. Dans la mesure où le recourant succombe, il n'y a pas lieu de lui allouer une indemnité à titre de dépens (art. 64 al. 1 PA a contrario). L'autorité inférieure n'y a également pas droit.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