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A-3127/2015 vom 18. August 2015</w:t>
      </w:r>
    </w:p>
    <w:p>
      <w:r>
        <w:t>Bundesverwaltungsgericht, 2015-08-18, DE</w:t>
      </w:r>
    </w:p>
    <w:p>
      <w:r>
        <w:rPr>
          <w:b/>
        </w:rPr>
        <w:t xml:space="preserve">Quelle: </w:t>
      </w:r>
      <w:r>
        <w:t>https://mcp.opencaselaw.ch/entscheid/bvger_A-3127_2015</w:t>
      </w:r>
    </w:p>
    <w:p>
      <w:r>
        <w:t>FR: TAF A-3127/2015 du 18 août 2015</w:t>
      </w:r>
    </w:p>
    <w:p>
      <w:r>
        <w:t>IT: TAF A-3127/2015 del 18 agosto 2015</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Der Beschwerdeführer ist Adressat der angefochtenen Verfügung und durch diese besonders berührt. Er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w:t>
      </w:r>
    </w:p>
    <w:p>
      <w:r>
        <w:t>Der Betriebsinhaber (Eigentümer, Pächter) ist für die Beaufsichtigung der elektrischen Anlagen und die Überwachung ihres guten Zustands verantwortlich (Art. 20 Abs. 1 EleG). Der Eigentümer oder der von ihm bezeichnete Vertreter sorgt dafür,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Periode verlängert werden. Wird der Sicherheitsnachweis trotz zweimaliger Mahnung nicht innerhalb der festgesetzten Frist eingereicht, übergibt die Netzbetreiberin der Vorinstanz die Durchsetzung der periodischen Kontrolle (Art. 36 Abs. 3 NIV).</w:t>
      </w:r>
    </w:p>
    <w:p>
      <w:r>
        <w:rPr>
          <w:b/>
        </w:rPr>
        <w:t>E. 4</w:t>
      </w:r>
    </w:p>
    <w:p>
      <w:r>
        <w:t>Der Beschwerdeführer stellt die Verpflichtung, als Eigentümer einer Liegenschaft mit elektrischen Installationen einen Sicherheitsnachweis erbringen zu müssen, nicht in Frage. Hingegen moniert er, dass die Aufforderungen zur Erbringung des Sicherheitsnachweises nicht an ihn persönlich, sondern an die Verwaltung seiner Liegenschaft versandt worden seien. Er verstehe nicht, warum er fünf Jahre nach der Prüfung der Hausinstallationen am 17. Februar 2010 durch die Firma C._______ AG eine Aufforderung erhalte.</w:t>
      </w:r>
    </w:p>
    <w:p>
      <w:r>
        <w:rPr>
          <w:b/>
        </w:rPr>
        <w:t>E. 4.1</w:t>
      </w:r>
    </w:p>
    <w:p>
      <w:r>
        <w:t>Die Verwaltung einer Stockwerkeigentümergemeinschaft (nachfolgend: StWEG) ist im Rahmen ihrer gesetzlichen Aufgaben befugt, die Gemeinschaft bzw. die einzelnen Stockwerkeigentümer nach aussen zu vertreten und an die Stockwerkeigentümer insgesamt gerichtete Erklärungen, Aufforderungen, Urteile und Verfügungen entgegenzunehmen (Art. 712t Abs. 1 und 3 des Schweizerischen Zivilgesetzbuches vom 10. Dezember 1907 [ZGB, SR 210]). Ihr gesetzlicher Aufgabenbereich bezieht sich dabei auf die gemeinschaftliche Verwaltung der Liegenschaft (Art. 712s ZGB). Elektrische Installationen, die im Sonderrecht eines einzelnen Stockwerkeigentümers liegen (vgl. Art. 712b ZGB), sind dagegen von dieser Verwaltungsbefugnis grundsätzlich nicht erfasst. Aufforderungen und Mahnungen zur Einreichung des Sicherheitsnachweises für solche Installationen können nur dann rechtsgültig an die Verwaltung adressiert werden, wenn der Eigentümer diese explizit als Vertreterin gemäss Art. 5 Abs. 1 NIV für seinen eigenen Stockwerkeigentumsanteil bezeichnet hat, etwa mit einer gesonderten Vollmacht (vgl. auch "Arten des Eigentums und Aufforderung zur periodischen Kontrolle", Bulletin Electrosuisse/VSE 5/2015 S. 2, http://www.esti.admin.ch/files/aktuell/2015-05_ei­gen­tum_d.pdf, abgerufen am 18. August 2015).</w:t>
      </w:r>
    </w:p>
    <w:p>
      <w:r>
        <w:rPr>
          <w:b/>
        </w:rPr>
        <w:t>E. 4.2</w:t>
      </w:r>
    </w:p>
    <w:p>
      <w:r>
        <w:t>Unbestrittenermassen betrifft die angefochtene Verfügung die Wohnung des Beschwerdeführers und damit elektrische Installationen, die in seinem Sonderrecht stehen (Stockwerkeigentum Nr. [...]). Nach Auskunft der Netzbetreiberin vom 30. Juni 2015 versandte diese ihre Aufforderungen zur Erbringung des Sicherheitsnachweises vom 10. September 2007 sowie die drei darauffolgenden Mahnungen vom 3. Juli und 11. November 2008 bzw. vom 30. April 2009 indessen (nur) an D._______, Verwalterin der StWEG (...). Die Anfrage der Vorinstanz, das Bestehen eines Vertretungsverhältnisses zwischen dem Beschwerdeführer und der StWEG mitzuteilen und gegebenenfalls nachzuweisen, liess die Netzbetreiberin unbeantwortet. Sie führte in einem Telefongespräch mit der Vorinstanz vom 30. Juni 2015 lediglich aus, die Schreiben seien vom Informatiksystem generiert und keine Kopien der Sendungen abgelegt worden. Ein Vertretungsverhältnis ergibt sich sodann auch nicht aufgrund von Indizien oder gestützt auf die gesamten Umstände. Damit ist nicht erstellt, dass die Netzbetreiberin ihre Aufforderungen und Mahnungen an eine vom Beschwerdeführer für seine elektrischen Installationen gemäss Art. 5 Abs. 1 NIV eingesetzte Vertretung versandte hätte. Abgesehen davon kann die Zustellung in der Regel nur bei Versand mit eingeschriebener Post rechtsgültig nachgewiesen werden (vgl. Urteil des BVGer A-507/2014 vom 22. Juli 2014 E. 4.2)</w:t>
      </w:r>
    </w:p>
    <w:p>
      <w:r>
        <w:rPr>
          <w:b/>
        </w:rPr>
        <w:t>E. 4.3</w:t>
      </w:r>
    </w:p>
    <w:p>
      <w:r>
        <w:t>Bleibt ein behaupteter Sachumstand unbewiesen, trägt im Allgemeinen diejenige Partei die Beweislast, die aus dem Vorhandensein der zu beweisenden Tatsache Rechte ableitet (vgl. Urteil des BVGer A-507/2014 E. 4.1 und 4.3). Die Folgen der Beweislosigkeit treffen vorliegend die Vorinstanz, die sich sinngemäss auf die Einhaltung der Bestimmungen nach Art. 36 Abs. 1 und 3 NIV stützt. Folglich ist die Verwaltung der StWEG bzw. D._______ nicht als Vertreterin des Beschwerdeführers im Sinne von Art. 5 Abs. 1 NIV zu betrachten.</w:t>
      </w:r>
    </w:p>
    <w:p>
      <w:r>
        <w:rPr>
          <w:b/>
        </w:rPr>
        <w:t>E. 5</w:t>
      </w:r>
    </w:p>
    <w:p>
      <w:r>
        <w:t>Art. 36 Abs. 3 NIV hält unmissverständlich fest, dass erst nach zweimaliger vergeblicher Mahnung, der offensichtlich eine erste Aufforderung zur Einreichung des Sicherheitsnachweises voranzugehen hat, die Netzbetreiberin der Vorinstanz die Angelegenheit zur Durchsetzung der periodischen Kontrolle übergibt. Voraussetzung der Befassung der Vorinstanz sind mithin drei Schreiben der Netzbetreiberin, nämlich die erste Aufforderung und zwei Mahnungen (vgl. Urteile des BVGer A-507/2014 E. 5 und A 2470/2010 vom 20. Juli 2010 E. 5.2). Nach dem Gesagten ist davon auszugehen, dass weder der Beschwerdeführer noch ein von ihm rechtsgültig eingesetzter Vertreter die vorgeschriebenen Mitteilungen erhalten hat. Da die Voraussetzungen für eine Übergabe des Dossiers an die Vorinstanz somit nicht erfüllt waren, kann dem Beschwerdeführer nicht vorgeworfen werden, er habe den Sicherheitsnachweis nicht eingereicht. Die gebührenpflichtige Verfügung vom 16. April 2015 wurde daher zu Unrecht erlassen und ist in Gutheissung der Beschwerde aufzuheben.</w:t>
      </w:r>
    </w:p>
    <w:p>
      <w:r>
        <w:rPr>
          <w:b/>
        </w:rPr>
        <w:t>E. 6.1</w:t>
      </w:r>
    </w:p>
    <w:p>
      <w:r>
        <w:t>Bei diesem Ausgang des Verfahrens sind dem Beschwerdeführer als obsiegende Partei keine Kosten aufzuerlegen (Art. 63 Abs. 1 VwVG). Der geleistete Kostenvorschuss von Fr. 800.- ist ihm nach Eintritt der Rechtskraft des vorliegenden Urteils zurückzuerstatten. Die Vorinstanz hat nach Art. 63 Abs. 2 VwVG keine Verfahrenskosten zu tragen.</w:t>
      </w:r>
    </w:p>
    <w:p>
      <w:r>
        <w:rPr>
          <w:b/>
        </w:rPr>
        <w:t>E. 6.2</w:t>
      </w:r>
    </w:p>
    <w:p>
      <w:r>
        <w:t>Dem anwaltlich nicht vertretenen Beschwerdeführer ist keine Parteientschädigung zuzusprechen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