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A-3122/2021 vom 24. August 2022</w:t>
      </w:r>
    </w:p>
    <w:p>
      <w:r>
        <w:t>Bundesverwaltungsgericht, 2022-08-24, DE</w:t>
      </w:r>
    </w:p>
    <w:p>
      <w:r>
        <w:rPr>
          <w:b/>
        </w:rPr>
        <w:t xml:space="preserve">Quelle: </w:t>
      </w:r>
      <w:r>
        <w:t>https://mcp.opencaselaw.ch/entscheid/bvger_A-3122_2021</w:t>
      </w:r>
    </w:p>
    <w:p>
      <w:r>
        <w:t>FR: TAF A-3122/2021 du 24 août 2022</w:t>
      </w:r>
    </w:p>
    <w:p>
      <w:r>
        <w:t>IT: TAF A-3122/2021 del 24 agosto 2022</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im Sinne von Art. 33 VGG entschieden hat. Bei der verfügenden Vorinstanz handelt es sich um eine solche im Sinne von Art. 33 Bst. d VGG (vgl. Anhang 1 B Ziff. IV 1.4.1. der Regierungs- und Verwaltungsorganisationsverordnung vom 25. November 1998 [RVOV, SR 172.010.1]). Eine Ausnahme, was das Sachgebiet angeht, ist nicht gegeben (Art. 32 VGG). Das Bundesverwaltungsgericht ist demnach für die Beurteilung der vorliegenden Beschwerde zuständig. Das Verfahren richtet sich nach dem VwVG, soweit das VGG nichts anderes bestimmt (Art. 37 VGG).</w:t>
      </w:r>
    </w:p>
    <w:p>
      <w:r>
        <w:rPr>
          <w:b/>
        </w:rPr>
        <w:t>E. 1.2</w:t>
      </w:r>
    </w:p>
    <w:p>
      <w:r>
        <w:t>Zur Beschwerde ist nach Art. 8 Abs. 1 VwVG berechtigt, wer am Verfahren vor der Vorinstanz teilgenommen hat oder keine Möglichkeit zur Teilnahme erhalten hat (Bst. a), durch die angefochtene Verfügung besonders berührt ist (Bst. b) und ein schutzwürdiges Interesse an deren Aufhebung oder Änderung hat (Bst. c). Der Beschwerdeführer ist als Verfahrensbeteiligter formeller Adressat der angefochtenen Verfügung und durch diese auch materiell beschwert. Er ist deshalb zur Erhebung der vorliegenden Beschwerde legitimiert.</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Im Folgenden ist die Rechtmässigkeit der Verfügung vom 1. Juni 2021 zu prüfen bzw. die Frage zu beantworten, ob die Verfahrensbeteiligten, gestützt auf das Urteil des Bundesverwaltungsgerichts A-4779/2019 vom 16. März 2020, die gegenseitig geltend gemachten Forderungen stellen können.</w:t>
      </w:r>
    </w:p>
    <w:p>
      <w:r>
        <w:rPr>
          <w:b/>
        </w:rPr>
        <w:t>E. 3.2</w:t>
      </w:r>
    </w:p>
    <w:p>
      <w:r>
        <w:t>In der angefochtenen Verfügung stellt sich die Vorinstanz auf den Standpunkt, sie habe bis zur Kenntnisnahme des Urteils des Bundesverwaltungsgerichts vom 16. März 2020 davon ausgehen dürfen, zwischen ihr und dem Beschwerdeführer habe ein Auftragsverhältnis bestanden. Demzufolge sei sie nicht verpflichtet gewesen, den Beschwerdeführer nach Ausschöpfung des Kostendachs per Ende November 2018 für weitere Einsätze aufzubieten. Mit der Qualifikation des Vertragsverhältnisses als Arbeitsverhältnis habe sich die rechtliche Lage jedoch rückwirkend geändert, auch wenn dies für sie im Dezember 2018, als sie dem Beschwerdeführer mitgeteilt habe, sie verzichte auf dessen Leistungen, nicht erkennbar gewesen sei. Retrospektiv betrachtet sei das Arbeitsverhältnis nun als Teilzeitarbeitsverhältnis mit Arbeit auf Abruf zu qualifizieren, mit der Folge, dass sie dem Beschwerdeführer nach Art. 324 Abs. 1 des Obligationenrechts vom 30. März 1911 (OR, SR 220) auch für die Zeit vom 1. Dezember 2018 bis und mit 31. Dezember 2019 den Lohn schulde, und zwar für das Pensum von 26.55 %, welches er bis Ende November 2018 im Durchschnitt geleistet habe. Sie schulde dem Beschwerdeführer somit für die Zeit vom 1. Januar 2016 bis 31. Dezember 2019 bei einem Pensum von 26.55 % folgende Bruttolöhne (inkl. Ortszuschlag und unter Berücksichtigung der Teuerung, einem jährlichen Lohnanstieg von 2 % und einer Reallohnerhöhung in den Jahren 2018 und 2019): 2016: Fr. 42'570.58 2017: Fr. 43'392.75 2018: Fr. 44'667.29 2019: Fr. 45'281.82 Total: Fr. 175'912.44 Für den Zeitraum vom 1. Januar 2016 bis 30. November 2018, in dem der Beschwerdeführer keine Ferien bezogen habe, habe er eine Entschädigung zugute. Diese belaufe sich bei 30 Ferientagen sowie 261 Arbeitstagen pro Jahr auf aufgerundet 11.5 %. Im massgebenden Zeitraum habe er Fr. 126'908.35 brutto verdient. Die Ferienentschädigung entspreche somit Fr. 14'594.46. Insgesamt habe er vom 1. Januar 2016 bis 31. Dezember 2019 somit einen Bruttolohn von Fr. 190'506.90 zugute. Bezogen habe er jedoch in diesem Zeitraum unbestrittenermassen Fr. 359'922.65 brutto. Demzufolge sei er gestützt auf das Urteil des Bundesverwaltungsgerichts vom 16. März 2020 im Betrag von Fr. 169'415.75 brutto ungerechtfertigt bereichert. Diesen Betrag zuzüglich 5 % Zins seit dem 1. April 2020 habe er gestützt auf Art. 62 OR der Vorinstanz zurückzuerstatten.</w:t>
      </w:r>
    </w:p>
    <w:p>
      <w:r>
        <w:rPr>
          <w:b/>
        </w:rPr>
        <w:t>E. 3.3</w:t>
      </w:r>
    </w:p>
    <w:p>
      <w:r>
        <w:t>Der Beschwerdeführer entgegnet hierzu, die Vorinstanz könne weder aus arbeits-, verfassungs- noch aus bereicherungsrechtlichen Gründen Rückforderungen stellen. Die angefochtene Verfügung verletze den Grundsatz "pacta sunt servanda". Einerseits hätte der Beschwerdeführer mit dem nun von der Vorinstanz nach den Vorgaben von Art. 15 des Bundespersonalgesetzes vom 24. März 2000 (BPG, SR 172.220.1) geltend gemachten Lohn keinen Vertrag abgeschlossen. Anderseits könne die Vorinstanz auch nicht einem wesentlichen Irrtum (Art. 24 Abs. 1 Ziff. 1 OR i.V.m. Art. 6 Abs. 2 BPG) unterlegen sein. Denn die Vorinstanz habe den Arbeitsvertrag nicht innert Jahresfrist angefochten (Art. 31 OR i.V.m. Art. 6 Abs. 2 BPG) und selbst wenn eine Vertragsanfechtung erfolgt wäre, hätte diese gemäss Art. 320 Abs. 3 OR nicht die Rückforderung von erhaltenem Lohn zur Folge. Des Weiteren verletze die angefochtene Verfügung den erhöhten arbeitsrechtlichen Vertrauensschutz nach Art. 320 Abs. 3 OR sowie den Vertrauensschutz gemäss Art. 5 Abs. 3 der Bundesverfassung vom 18. April 1999 (BV, SR 101) und das Willkürverbot (Art. 9 BV). Die Rückforderung sei zudem rechtsmissbräuchlich, da die Vorinstanz in bewusster Umgehung der Lohnvorschriften ein Auftragsverhältnis simuliert habe, da sie gewusst habe, dass sie sonst nicht genügend Ärzte für die von ihm ausgeführte Tätigkeit finden würde. Die Rückforderung des über mehrere Jahre hinweg ausbezahlten Lohns stelle widersprüchliches und treuwidriges Verhalten dar. Schliesslich sei die (teilweise) Rückforderung bereicherungsrechtlich (Art. 64 OR) ausgeschlossen, da er im berechtigten Vertrauen auf die Gültigkeit der Lohnvereinbarung Vermögensdispositionen getätigt habe, welche nicht mehr rückgängig gemacht werden könnten und den Rückforderungsbetrag übersteigen würden. Im Zeitpunkt der Rückforderung sei er zudem nicht mehr bereichert gewesen.</w:t>
      </w:r>
    </w:p>
    <w:p>
      <w:r>
        <w:rPr>
          <w:b/>
        </w:rPr>
        <w:t>E. 4.1</w:t>
      </w:r>
    </w:p>
    <w:p>
      <w:r>
        <w:t>Nach Art. 6 Abs. 2 BPG gelten für das Arbeitsverhältnis sinngemäss die einschlägigen Bestimmungen des Obligationenrechts, soweit das Bundespersonalgesetz oder andere Bundesgesetze nichts anderes vorsehen (vgl. BBl 1999 S. 1609). Dieser Verweis bezieht sich nicht nur auf die arbeitsrechtlichen Bestimmungen des OR (Art. 319 ff. OR), sondern auf sämtliche Regeln, die sich im Hinblick auf die Besonderheiten des öffentlichen Arbeitsverhältnisses für einen analogen Beizug als ergänzendes öffentliches Recht eignen. Er umfasst auch den Allgemeinen Teil des OR und insbesondere die Normen über die Willensmängel beim Vertragsabschluss (Art. 1-40 OR; vgl. zum Ganzen: BGE 132 II 161 E. 3.1 m.w.H.).</w:t>
      </w:r>
    </w:p>
    <w:p>
      <w:r>
        <w:rPr>
          <w:b/>
        </w:rPr>
        <w:t>E. 4.2</w:t>
      </w:r>
    </w:p>
    <w:p>
      <w:r>
        <w:t>Geht es um die Anfechtung ganz oder teilweise abgewickelter Dauerschuldverhältnisse, etwa im Bereich von Dienstleistungen, stösst eine Rückabwicklung nach reinen Vindikations- und Bereicherungsgrundsätzen in aller Regel auf erhebliche praktische Schwierigkeiten oder erweist sich gar als unmöglich. Das Gesetz regelt diesen Tatbestand nicht allgemein, hat aber für den Arbeitsvertrag in Art. 320 Abs. 3 OR eine Sonderordnung getroffen, wonach für die gegenseitigen Ansprüche und Verpflichtungen die Gültigkeit des unverbindlichen Vertrags bis zu dessen Aufhebung fingiert wird. Dass das Gesetz diesen Grundsatz nicht ausdrücklich auf andere Dauerschuldverhältnisse ausgedehnt hat, schliesst nicht aus, ihn auf dem Wege teleologischer Auslegung zu verallgemeinern und analog anzuwenden (BGE 129 III 320 E. 7.1.2 m.w.H.). Das Arbeitsverhältnis bzw. das Vertragsverhältnis ist so abzuwickeln, wie wenn ein gültiger Vertrag bestehen würde, bis eine der Parteien sich durch Ausübung eines Gestaltungsrechts auf Ungültigkeit beruft. Man spricht in diesem Zusammenhang auch von einem faktischen Vertragsverhältnis. Mit anderen Worten werden die Wirkungen der Ungültigkeit nicht zurückdatiert, sondern auf den Moment der Anrufung des Ungültigkeitsgrundes bezogen. Es muss also weder der Lohn zurückerstattet noch für die Vorteile aus der Arbeit für den Arbeitgeber eine Entschädigung berechnet werden (vgl. BGE 129 III 320 E. 7.1.3 Ullin Streiff//Adrian von Kaenel/Roger Rudolph, Arbeitsvertrag - Praxiskommentar zu Art. 319-362 OR, 7. Aufl. 2012, N. 8).</w:t>
      </w:r>
    </w:p>
    <w:p>
      <w:r>
        <w:rPr>
          <w:b/>
        </w:rPr>
        <w:t>E. 4.3</w:t>
      </w:r>
    </w:p>
    <w:p>
      <w:r>
        <w:t>Vier Voraussetzungen müssen erfüllt sein, damit diese Rechtsfolge eintritt: (vermeintlicher) Abschluss eines Arbeitsvertrages, vollständige Ungültigkeit dieses "Vertrages", fehlende Bösgläubigkeit des Arbeitnehmers und Leistung von Arbeit aufgrund des ungültigen Vertrages (Streiff/von Kaenel/Rudolph, a.a.O., N. 8). Vorliegend schlossen der Beschwerdeführer und die Vorinstanz einen (vermeintlichen) Auftrag ab. Das Bundesverwaltungsgericht stellte mit Urteil vom 16. März 2020 fest, dass zwischen den Verfahrensbeteiligten kein Auftrag, sondern ein Arbeitsverhältnis für die Zeit vom 1. Januar 2016 bis 31. Dezember 2019 bestanden hat. Der Vertrag über den Auftrag war somit ungültig, weshalb auch die zweite Voraussetzung erfüllt ist. Zudem ist eine Bösgläubigkeit des Beschwerdeführers nicht zu erkennen und er hat auch Arbeit aufgrund des ungültigen Vertrages geleistet, womit auch die zwei letzten Voraussetzungen erfüllt sind. Daraus ist zu folgern, dass bis zum Urteilszeitpunkt vom 16. März 2020 bzw. bis zum Ende des befristeten Vertragsverhältnisses die vom Bundesgericht entwickelte Sonderordnung von Art. 320 Abs. 3 OR in analoger Anwendung zum Zuge kommt und der Vertrag auf diesen Zeitpunkt "ex nunc" als Arbeitsvertrag zum Tragen kommt. Die Verfahrensbeteiligten sind entsprechend bis zum 31. Dezember 2019 so zu stellen, wie wenn sie einen gültigen Vertrag in Form des Auftrags erfüllten. Die Wirkungen der Ungültigkeit werden also nicht auf den 1. Januar 2016 zurückdatiert, sondern kommen erst auf den Urteilszeitpunkt vom 16. März 2020 zur Anwendung. Entsprechend kann die Vorinstanz weder einen zu viel bezahlten Lohn zurückfordern, noch ist der Beschwerdeführer berechtigt, Forderungen bzgl. Lohn und Ferienentschädigungen (Rechtsbegehren Nr. 2 und 3), die er aus einem Arbeitsverhältnis geltend macht, zu stellen.</w:t>
      </w:r>
    </w:p>
    <w:p>
      <w:r>
        <w:rPr>
          <w:b/>
        </w:rPr>
        <w:t>E. 4.4</w:t>
      </w:r>
    </w:p>
    <w:p>
      <w:r>
        <w:t>Zusammenfassend ergibt sich somit aus dem Gesagten, dass Ziffer 1 der Verfügung vom 1. Juni 2021 aufzuheben ist und die Rechtsbegehren Nrn. 2 und 3 der Beschwerde vom 5. Juli 2021 abzuweisen sind.</w:t>
      </w:r>
    </w:p>
    <w:p>
      <w:r>
        <w:rPr>
          <w:b/>
        </w:rPr>
        <w:t>E. 5.1</w:t>
      </w:r>
    </w:p>
    <w:p>
      <w:r>
        <w:t>Der Beschwerdeführer verlangt zudem, die Vorinstanz sei zu verpflichten, die überobligatorischen BVG-Leistungen rückwirkend für den Zeitraum Juni 2015 bis Dezember 2019 bei der zuständigen Pensionskasse des Bundes (PUBLICA) anzumelden und einzuzahlen (Rechtsbegehren Nr. 4).</w:t>
      </w:r>
    </w:p>
    <w:p>
      <w:r>
        <w:rPr>
          <w:b/>
        </w:rPr>
        <w:t>E. 5.2</w:t>
      </w:r>
    </w:p>
    <w:p>
      <w:r>
        <w:t>Die Vorinstanz führt diesbezüglich aus, eine konkrete Berechnung des BVG-Anspruchs könne von der Pensionskasse PUBLICA erst vorgenommen werden, wenn die Frage nach der Lohnhöhe rechtskräftig beantwortet worden sei. Ob der Beschwerdeführer tatsächlich einen Anspruch habe, könne deshalb im Moment nicht beurteilt werden. Dementsprechend hatte sie in Ziffer 2 des Dispositivs der angefochtenen Verfügung verfügt, über die Forderungen des Arbeitnehmers bezüglich Arbeitgeberbeitrag an die Pensionskasse PUBLICA werde nach Abschluss des Verfahrens entschieden.</w:t>
      </w:r>
    </w:p>
    <w:p>
      <w:r>
        <w:rPr>
          <w:b/>
        </w:rPr>
        <w:t>E. 5.3</w:t>
      </w:r>
    </w:p>
    <w:p>
      <w:r>
        <w:t>Die sozialversicherungsrechtliche Beitragspflicht Erwerbstätiger richtet sich unter anderem danach, ob das in einem bestimmten Zeitraum erzielte Erwerbseinkommen als solches aus selbständiger oder aus unselbständiger Erwerbstätigkeit zu qualifizieren ist (Art. 5 und 9 AHVG sowie Art. 6 ff. AHVV).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(zum Ganzen BGE 119 V 161 E. 2).</w:t>
      </w:r>
    </w:p>
    <w:p>
      <w:r>
        <w:rPr>
          <w:b/>
        </w:rPr>
        <w:t>E. 5.4</w:t>
      </w:r>
    </w:p>
    <w:p>
      <w:r>
        <w:t>Es stellt sich daher unabhängig von der rechtlichen Qualifikation des Arbeitsverhältnisses und des materiellen Ergebnisses des vorliegenden Verfahrens die Frage, ob für die ausgeübte Tätigkeit des Beschwerdeführers Arbeitgeberbeiträge geschuldet sind. Die Vorinstanz hat gemäss Ziffer 2 des Dispositivs nach Rechtskraft des vorliegenden Urteils hierüber zu entscheiden und den Beschwerdeführer allenfalls bei der PUBLICA als unselbständig Erwerbenden nachzumelden.</w:t>
      </w:r>
    </w:p>
    <w:p>
      <w:r>
        <w:rPr>
          <w:b/>
        </w:rPr>
        <w:t>E. 6</w:t>
      </w:r>
    </w:p>
    <w:p>
      <w:r>
        <w:t>Die Beschwerde ist somit teilweise gutzuheissen und Dispositiv Ziffer 1 der Verfügung vom 1. Juni 2021 aufzuheben. Im Übrigen ist die Beschwerde abzuweisen.</w:t>
      </w:r>
    </w:p>
    <w:p>
      <w:r>
        <w:rPr>
          <w:b/>
        </w:rPr>
        <w:t>E. 7.1</w:t>
      </w:r>
    </w:p>
    <w:p>
      <w:r>
        <w:t>Das Beschwerdeverfahren vor dem Bundesverwaltungsgericht ist in personalrechtlichen Angelegenheiten unabhängig vom Ausgang des Verfahrens, ausser bei Mutwilligkeit, kostenlos (Art. 34 Abs. 2 BPG). Es sind daher für das vorliegende Verfahren keine Verfahrenskosten zu erheben.</w:t>
      </w:r>
    </w:p>
    <w:p>
      <w:r>
        <w:rPr>
          <w:b/>
        </w:rPr>
        <w:t>E. 7.2</w:t>
      </w:r>
    </w:p>
    <w:p>
      <w:r>
        <w:t>Nach Art. 64 Abs. 1 VwVG ist der ganz oder teilweise obsiegenden Partei von Amtes wegen oder auf Antrag hin eine Entschädigung für die ihr erwachsenen und verhältnismässig hohen Kosten zuzusprechen. Der vorliegend zu zwei Dritteln obsiegende Beschwerdeführer ist anwaltlich vertreten. Da dem Bundesverwaltungsgericht keine Kostennote übermittelt wurde, ist die Parteientschädigung vorliegend aufgrund der Akten auf pauschal Fr. 3'000.- festzusetzen (vgl. Art. 14 Abs. 2 Satz 2 des Reglements vom 21. Februar 2008 über die Kosten und Entschädigungen vor dem Bundesverwaltungsgericht [VGKE, SR 173.320.2]). Die Parteientschädigung ist der Vorinstanz zur Bezahlung aufzuerlegen (Art. 64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