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A-3119/2019 vom 24. August 2020</w:t>
      </w:r>
    </w:p>
    <w:p>
      <w:r>
        <w:t>Bundesverwaltungsgericht, 2020-08-24, FR</w:t>
      </w:r>
    </w:p>
    <w:p>
      <w:r>
        <w:rPr>
          <w:b/>
        </w:rPr>
        <w:t xml:space="preserve">Quelle: </w:t>
      </w:r>
      <w:r>
        <w:t>https://mcp.opencaselaw.ch/entscheid/bvger_A-3119_2019</w:t>
      </w:r>
    </w:p>
    <w:p>
      <w:r>
        <w:t>FR: TAF A-3119/2019 du 24 août 2020</w:t>
      </w:r>
    </w:p>
    <w:p>
      <w:r>
        <w:t>IT: TAF A-3119/2019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du registre foncier de la Commune de Grône afin d'y construire le pylône ....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w:t>
      </w:r>
    </w:p>
    <w:p>
      <w:r>
        <w:rPr>
          <w:b/>
        </w:rPr>
        <w:t>E. 3</w:t>
      </w:r>
    </w:p>
    <w:p>
      <w:r>
        <w:t>S'agissant des griefs formels, la recourante invoque un déni de justice et des violations du droit d'être entendu.</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 par exemple les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sécurités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et qu'elle ne saurait, par conséquent, se prévaloir d'une situation d'urgence, ne saurait davantage être suivi. Le Tribunal observe d'abord que le pylône en cause n'est pas en zone de danger, ce que la recourante reconnaît elle-même. Les zones de danger dont se prévaut la recourante concernent d'autres pylônes. En outre, les caractéristiques desdites zones étaient connues au moment de l'approbation des plans. Les rapports du bureau d'Etudes Géologiques SA mentionnés par la recourante démontrent - si tant est que cela était nécessaire - que l'intimée étudie déjà les mesures de sécurité à prendre pour lesdits pylônes. Aussi, il paraît évident que l'examen complet et approfondi desdites mesures nécessitera - au moins dans une mesure importante - l'accès à la parcelle concernée, ce que permettra précisément l'envoi en possession anticipé. Pour le surplus, les questions relatives à la sécurité sont du ressort de l'ESTI et n'ont pas à être examinées dans la présente procédure.</w:t>
      </w:r>
    </w:p>
    <w:p>
      <w:r>
        <w:rPr>
          <w:b/>
        </w:rPr>
        <w:t>E. 4.6.2.3</w:t>
      </w:r>
    </w:p>
    <w:p>
      <w:r>
        <w:t>La recourante fait également valoir que l'expropriante ne demande pas l'envoi en possession anticipé pour le survol de la parcelle, mais seulement pour la construction du pylône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En définitive,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4.6.2.5</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La recourante fait encore valoir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de la recourante conformément aux plans approuvés. Pour le reste, c'est à l'ESTI qu'échoit la mission de contrôler que la construction se fasse effectivement dans le respect des prescriptions et des autorisations reçues (consid 3.2 et 4.6.2.2 supra).</w:t>
      </w:r>
    </w:p>
    <w:p>
      <w:r>
        <w:rPr>
          <w:b/>
        </w:rPr>
        <w:t>E. 4.6.5</w:t>
      </w:r>
    </w:p>
    <w:p>
      <w:r>
        <w:t>Dans ses déterminations du 22 août 2019, la recourante déclare qu'elle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et 4.6.4 supra).</w:t>
      </w:r>
    </w:p>
    <w:p>
      <w:r>
        <w:rPr>
          <w:b/>
        </w:rPr>
        <w:t>E. 4.6.6</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ou mal fondés et beaucoup de pièces produites inutiles. Dans ses écritures, le mandataire de la recourante a produit de nombreux documents et allégués extrinsèques à la présente procédure, chargeant inutilement le dossier. Aussi, une part importante des allégations avancées et des pièces produites font référence à des procédures closes ou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la pertinence des pièces déposées n'est pas toujours explicitée. Considérant ce qui précède, il n'y a pas lieu de s'écarter du principe général des art. 63 ss PA (consid. 6.2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