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A-309/2024 vom 28. November 2024</w:t>
      </w:r>
    </w:p>
    <w:p>
      <w:r>
        <w:t>Bundesverwaltungsgericht, 2024-11-28, DE</w:t>
      </w:r>
    </w:p>
    <w:p>
      <w:r>
        <w:rPr>
          <w:b/>
        </w:rPr>
        <w:t xml:space="preserve">Quelle: </w:t>
      </w:r>
      <w:r>
        <w:t>https://mcp.opencaselaw.ch/entscheid/bvger_A-309_2024</w:t>
      </w:r>
    </w:p>
    <w:p>
      <w:r>
        <w:t>FR: TAF A-309/2024 du 28 novembre 2024</w:t>
      </w:r>
    </w:p>
    <w:p>
      <w:r>
        <w:t>IT: TAF A-309/2024 del 28 novembre 2024</w:t>
      </w:r>
    </w:p>
    <w:p>
      <w:pPr>
        <w:pStyle w:val="Heading2"/>
      </w:pPr>
      <w:r>
        <w:t>Regeste</w:t>
      </w:r>
    </w:p>
    <w:p>
      <w:r>
        <w:t>Jagd und Fischerei</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2.1</w:t>
      </w:r>
    </w:p>
    <w:p>
      <w:r>
        <w:t>Art. 48 Abs. 2 VwVG sieht ein spezialgesetzliches Beschwerderecht für Organisationen vor, denen von Gesetzes wegen gegen Verfügungen der</w:t>
      </w:r>
    </w:p>
    <w:p>
      <w:r>
        <w:t>A-309/2024 Seite 4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 Heimat- 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w:t>
      </w:r>
    </w:p>
    <w:p>
      <w:r>
        <w:rPr>
          <w:b/>
        </w:rPr>
        <w:t>E. 2.7</w:t>
      </w:r>
    </w:p>
    <w:p>
      <w:r>
        <w:t>Aus den Erläuterungen zur Änderung vom 15. Juni 1998 der damaligen Verordnung über die Bezeichnung der beschwerdeberechtigten Umwelt- schutzorganisationen (VBUO) geht unter anderem Folgendes hervor:</w:t>
      </w:r>
    </w:p>
    <w:p>
      <w:r>
        <w:t>A-309/2024 Seite 5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 müs- sen nachweisen, dass es sich um eine ideelle Organisation handelt (nach Statuten und tatsächlich), es muss sich um eine Umweltschutzorganisation bzw. um eine Natur- und Heimatschutzorganisation handeln (nach Statuten und tatsächlich), die Organisation muss gesamtschweizerisch tätig sein (nach Statuten und tatsächlich) und die Organisation muss seit zehn Jah- ren bestehen sowie in diesen zehn Jahren alle übrigen Voraussetzungen immer erfüllt haben (vgl. www.bafu.admin.ch &gt; Themen &gt; Thema Umwelt- recht &gt; Fachinformation Verbandsbeschwerderecht &gt; Gesetzliche Grund- 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w:t>
      </w:r>
    </w:p>
    <w:p>
      <w:r>
        <w:t>A-309/2024 Seite 6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w:t>
      </w:r>
    </w:p>
    <w:p>
      <w:r>
        <w:t>A-309/2024 Seite 7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w:t>
      </w:r>
    </w:p>
    <w:p>
      <w:r>
        <w:t>A-309/2024 Seite 8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t>A-309/2024 Seite 9</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 Obwohl im Parlament die Auffassung vertreten wurde, der Bundesrat werde die Liste «souverainement, sous réserve de l’arbitraire» aufstellen (vgl. LORETAN, Kommentar USG, N. 19 m.H.a. Amtl. Bull. N. 1982 474), hat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w:t>
      </w:r>
    </w:p>
    <w:p>
      <w:r>
        <w:t>A-309/2024 Seite 10 Umweltverträglichkeits-prüfung sowie Verhinderung von Missbräuchen durch eine Präzisierung des Verbandsbeschwerderechtes. Bericht der Kommission für Rechtsfragen des Ständerates» [BBl 2005 5351 5363] so- wie Stellungnahme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 Schweizerische Interessengemeinschaft Elektrosmog-Betroffener»). In der Lehre wird davon ausgegangen, dass es sich bei den jeweiligen Beschwer- deführenden um lokal tätige Organisationen gehandelt haben dürfte, die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w:t>
      </w:r>
    </w:p>
    <w:p>
      <w:r>
        <w:t>A-309/2024 Seite 11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rPr>
          <w:b/>
        </w:rPr>
        <w:t>E. 5.2</w:t>
      </w:r>
    </w:p>
    <w:p>
      <w:r>
        <w:t>Die Vorinstanz bringt vor, dass insbesondere in den Jahren 2014–2017 die Öffentlichkeitsarbeit lediglich in einem Teil der Deutschschweiz stattge- 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w:t>
      </w:r>
    </w:p>
    <w:p>
      <w:r>
        <w:t>A-309/2024 Seite 12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 aber keine solchen Aktivitäten in der Westschweiz geltend. Soweit er auf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t>A-309/2024 Seite 13</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 Vorausset- zung der schweizweiten Tätigkeit – hier in Form von Öffentlichkeitsarbeit – zu ändern. Es liegt daher keine vergleichbare Situation des Beschwerde- führers vor, auch wenn die von ihm genannten Organisationen zum heuti- gen Zeitpunkt über keine Website in zwei Landessprachen verfügen soll- ten. Selbst wenn hier von einer Vergleichbarkeit auszugehen wäre, besteht auch kein Anspruch auf Gleichbehandlung im Unrecht. Dieser wird nur aus- nahmsweise anerkannt, wenn eine ständige gesetzeswidrige Praxis einer rechtsanwendenden Behörde vorliegt und die Behörde zu erkennen gibt, dass sie auch in Zukunft nicht von dieser Praxis abzuweichen gedenke (BGE 122 II 446 E. 4a; 131 V 9 E. 3.7; BVGE 2016/21 E. 6.2). Das Krite- rium der ständigen Praxis ist bei einer abweichenden Behandlung in zwei Fällen nicht erfüllt und die Vorinstanz hat dargelegt, dass sie die verfügba- ren Sprachen auf einer Website als Indiz für die Beurteilung der schweiz- 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w:t>
      </w:r>
    </w:p>
    <w:p>
      <w:r>
        <w:t>A-309/2024 Seite 14 statutarischen Zweck entsprechen. Es kann auch offenbleiben, ob die wei- 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A-309/2024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