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A-307/2021 vom 24. Februar 2023</w:t>
      </w:r>
    </w:p>
    <w:p>
      <w:r>
        <w:t>Bundesverwaltungsgericht, 2023-02-24, DE</w:t>
      </w:r>
    </w:p>
    <w:p>
      <w:r>
        <w:rPr>
          <w:b/>
        </w:rPr>
        <w:t xml:space="preserve">Quelle: </w:t>
      </w:r>
      <w:r>
        <w:t>https://mcp.opencaselaw.ch/entscheid/bvger_A-307_2021</w:t>
      </w:r>
    </w:p>
    <w:p>
      <w:r>
        <w:t>FR: TAF A-307/2021 du 24 février 2023</w:t>
      </w:r>
    </w:p>
    <w:p>
      <w:r>
        <w:t>IT: TAF A-307/2021 del 24 febbraio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Der Beschwerdeführer 2 ist als Verfügungsadressat ohne Weiteres beschwerdeberechtigt. Hingegen nicht beschwerdeberechtigt ist die Beschwerdeführerin 1 in Bezug auf das Verfahren 631.1-2017-NL-0001-0343-001926. Da diese dort weder Verfügungsadressatin noch Person ist, über die im Amtshilfeersuchen Informationen verlangt werden. Des Weiteren wird von der Beschwerdeführerin 1 auch keine sonstige Beschwerdeberechtigung i.S.v. Art. 48 VwVG in Bezug auf das Verfahren 631.1-2017-NL-0001-0343-001926 geltend gemacht, noch ergibt sich eine solche aus den Akten. Auf die Beschwerde ist in Bezug auf die Beschwerdeführerin 1 nicht einzutreten.</w:t>
      </w:r>
    </w:p>
    <w:p>
      <w:r>
        <w:rPr>
          <w:b/>
        </w:rPr>
        <w:t>E. 1.3.2</w:t>
      </w:r>
    </w:p>
    <w:p>
      <w:r>
        <w:t>Die Beschwerde wurde im Übrigen form- und fristgerecht eingereicht (vgl. Art. 50 Abs. 1 VwVG und Art. 52 Abs. 1 VwVG i.V.m. Art. 19 Abs. 5 StAhiG), weshalb in Bezug auf den Beschwerdeführer 2 darauf einzutreten ist.</w:t>
      </w:r>
    </w:p>
    <w:p>
      <w:r>
        <w:rPr>
          <w:b/>
        </w:rPr>
        <w:t>E. 2.1</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2.4.2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 zum Ganzen: Urteil des BVGer A-1883/2021 vom 22. Februar 2022 E. 3.4).</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2.6.2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2.7</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m.w.H.; Urteile des BVGer A-6532/2020 vom 21. Dezember 2021 E. 3.4, A-3186/2019 vom 20. August 2020 E. 2.8.3, A-1534/2018 vom 3. August 2020 E. 6.2; zum Ganzen: Urteil des BVGer A-1883/2021 vom 22. Februar 2022 E. 3.6).</w:t>
      </w:r>
    </w:p>
    <w:p>
      <w:r>
        <w:rPr>
          <w:b/>
        </w:rPr>
        <w:t>E. 2.8</w:t>
      </w:r>
    </w:p>
    <w:p>
      <w:r>
        <w:t>Die Vereinbarung einer Amtshilfeklausel im Rahmen eines DBA ist ein politischer Entscheid, den die Gerichte grundsätzlich zu akzeptieren haben (Urteil des BGer 2C_619/2018 vom 21. Dezember 2018 E. 4.2; Urteil des BVGer A-1883/2021 vom 22. Februar 2022 E. 3.7.1 m.w.H.).</w:t>
      </w:r>
    </w:p>
    <w:p>
      <w:r>
        <w:rPr>
          <w:b/>
        </w:rPr>
        <w:t>E. 3</w:t>
      </w:r>
    </w:p>
    <w:p>
      <w:r>
        <w:t>Das hier streitgegenständliche Amtshilfeersuchen der Niederlande vom 21. Februar 2017 bildete bereits Gegenstand des Referenzurteils des Bundesverwaltungsgerichts A-1883/2021 vom 22. Februar 2022 (nachfolgend: Referenzurteil). Darin hielt das Bundesverwaltungsgericht fest, dass das Listenersuchen alle Anforderungen erfülle und daher zulässig sei. Im gleichen Sinn fällte das Bundesverwaltungsgericht betreffend Amtshilfeersuchen der Niederlande das Nachfolgeurteil A-6507/2020 vom 11. Oktober 2022. Auf die dagegen erhobene Beschwerde ist das Bundesgericht mit Urteil 2C_872/2022 vom 8. November 2022 nicht eingetreten.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3.1 ff.), welche die Frage der Zulässigkeit des vorliegenden Amtshilfeersuchens beschlagen, beschränken sich daher hauptsächlich auf eine kurze Zusammenfassung der relevanten, das Bundesverwaltungsgericht materiell bindenden, höchstrichterlichen Schlussfolgerungen sowie des Referenzurteils.</w:t>
      </w:r>
    </w:p>
    <w:p>
      <w:r>
        <w:rPr>
          <w:b/>
        </w:rPr>
        <w:t>E. 3.1</w:t>
      </w:r>
    </w:p>
    <w:p>
      <w:r>
        <w:t>Der Beschwerdeführer 2 rügt die Verletzung des rechtlichen Gehörs. Die Vorinstanz stütze sich für die Festlegung des für das Amtshilfeverfahren relevanten Sachverhalts explizit auf Akten, die ihm (dem Beschwerdeführer 2) nicht zugänglich gemacht worden seien. In seinem Urteil A-6507/2020 vom 11. Oktober 2022 hat das Bundesverwaltungsgericht diese beschwerdeführerische Rüge der Verletzung des rechtlichen Gehörs verworfen. Dies unter anderem deshalb, weil die Vorinstanz den wesentlichen Inhalt der streitbetroffenen Akten mit der Schlussverfügung bekanntgegeben habe und die (dortigen) Beschwerdeführenden insofern in der Lage waren, die betreffende Schlussverfügung sachgerecht anzufechten (dortige E. 3.2). Im Übrigen erkannte auch das Bundesgericht in seinem Nichteintretensentscheid 2C_872/2022 vom 8. November 2022 keine Verletzung des rechtlichen Gehörs (dortige E. 4.2.1). Somit dringen die Beschwerdeführenden mit derselben Rüge auch im vorliegenden Verfahren nicht durch.</w:t>
      </w:r>
    </w:p>
    <w:p>
      <w:r>
        <w:rPr>
          <w:b/>
        </w:rPr>
        <w:t>E. 3.2</w:t>
      </w:r>
    </w:p>
    <w:p>
      <w:r>
        <w:t>Der Beschwerdeführer 2 hält die Eintretensvoraussetzungen betreffend das Amtshilfegesuch für nicht gegeben, da er ein treuwidriges Verhalten der Niederlande erblickt. Das Amtshilfeersuchen beruhe auf Informationen, die durch nach schweizerischem Recht strafbare Handlungen erlangt worden seien.</w:t>
      </w:r>
    </w:p>
    <w:p>
      <w:r>
        <w:rPr>
          <w:b/>
        </w:rPr>
        <w:t>E. 3.2.1</w:t>
      </w:r>
    </w:p>
    <w:p>
      <w:r>
        <w:t>Das Bundesverwaltungsgericht führte im Referenzurteil aus, gemäss der Rechtsprechung sei keine Verletzung von Treu und Glauben gegeben, wenn der Kausalzusammenhang zwischen einer allfälligen Straftat und einem Amtshilfeersuchen unterbrochen sei. Im vorliegenden Fall wäre der Kausalzusammenhang zwischen einer allfälligen Straftat der Bankmitarbeiterin oder ihrem Vorgesetzten und dem niederländischen Amtshilfeersuchen ohnehin unterbrochen, weil Deutschland die Daten im Rahmen einer spontanen Amtshilfe übermittelt habe. So brauche nicht weiter geprüft zu werden, ob die Mitarbeitenden der Bank tatsächlich eine Straftat begangen hätten. An dieser Stelle könne immerhin festgehalten werden, dass im Zusammenhang mit den anlässlich der Hausdurchsuchung gefundenen Listen sowohl die Bundesanwaltschaft als auch die Beschwerdeinstanz eine vorsätzliche Verletzung des Bankkundengeheimnisses verneint hätten. Es erübrige sich daher auch, die vom (dortigen) Beschwerdeführer gewünschten Verfahrensakten des Bundesstrafgerichts beizuziehen. Die niederländische Steuerbehörde habe zudem gegenüber der Schweiz keine Zusicherung abgegeben, wonach sie die von Deutschland erhaltenen Daten nicht verwenden würde. Die Vorinstanz habe somit keinen Anlass gehabt, das völkerrechtliche Vertrauensprinzip in Frage zu stellen (Referenzurteil E. 4.5.2; Urteil des BVGer A-6507/2020 vom 11. Oktober 2022 E. 3.8.2).</w:t>
      </w:r>
    </w:p>
    <w:p>
      <w:r>
        <w:rPr>
          <w:b/>
        </w:rPr>
        <w:t>E. 3.2.2</w:t>
      </w:r>
    </w:p>
    <w:p>
      <w:r>
        <w:t>Auch an diesen Ausführungen ist vorliegend mangels relevanter Abweichungen betreffend Sach- und Rechtslage vollumfänglich festzuhalten. Ein treuwidriges Verhalten der Niederlande ist nicht ersichtlich.</w:t>
      </w:r>
    </w:p>
    <w:p>
      <w:r>
        <w:rPr>
          <w:b/>
        </w:rPr>
        <w:t>E. 3.3</w:t>
      </w:r>
    </w:p>
    <w:p>
      <w:r>
        <w:t>Der Beschwerdeführer 2 bestreiten zudem die voraussichtliche Erheblichkeit der ersuchten Informationen mangels niederländischen Bezugs.</w:t>
      </w:r>
    </w:p>
    <w:p>
      <w:r>
        <w:rPr>
          <w:b/>
        </w:rPr>
        <w:t>E. 3.3.1</w:t>
      </w:r>
    </w:p>
    <w:p>
      <w:r>
        <w:t>Das Bundesverwaltungsgericht hat die voraussichtliche Erheblichkeit der vom BD ersuchten Informationen bejaht (Referenzurteil, E. 4.12 ff.; Urteil des BVGer A-6507/2020 vom 11. Oktober 2022 E. 9.3.2). Der Domizilcode in Listen, die von der Informationsinhaberin (Bank) geführt worden sind, stellt einen hinreichenden Anknüpfungspunkt für eine potenzielle Steuerpflicht dar (E. 3.2). Nach ständiger bundesgerichtlicher Rechtsprechung bildet zudem die Bestimmung der steuerrechtlichen Ansässigkeit («Steuerwohnsitz») einer betroffenen Person im internationalen Verfahren eine materiellrechtliche Frage, die vom ersuchenden ausländischen Staat zu klären ist (Urteil des BGer 2C_872/2022 vom 8. November 2022 E. 4.2.3 m.w.H.; Referenzurteil, E. 4.6; Urteil des BVGer A-6507/2020 vom 11. Oktober 2022 E. 9.3.2). Das trifft insbesondere auch auf den Einwand zu, die persönliche Zugehörigkeit mit der damit einhergehenden unbeschränkten Steuerpflicht bestehe nicht im ersuchenden ausländischen Staat (Urteil des BGer 2C_872/2022 vom 8. November 2022 E. 4.2.3 m.w.H.).</w:t>
      </w:r>
    </w:p>
    <w:p>
      <w:r>
        <w:rPr>
          <w:b/>
        </w:rPr>
        <w:t>E. 3.3.2</w:t>
      </w:r>
    </w:p>
    <w:p>
      <w:r>
        <w:t>Somit sind auch im vorliegenden Verfahren die zu übermittelnden Informationen voraussichtlich Erheblich zur Anwendung oder Durchsetzung des niederländischen Rechts im ersuchten Zeitraum (E. 2.3.2).</w:t>
      </w:r>
    </w:p>
    <w:p>
      <w:r>
        <w:rPr>
          <w:b/>
        </w:rPr>
        <w:t>E. 3.4</w:t>
      </w:r>
    </w:p>
    <w:p>
      <w:r>
        <w:t>Der Beschwerdeführer 2 bringt weiter vor, dass allfällige Steuerforderungen bereits verjährt seien. Der Umstand, dass sie keinen Wohnsitz bzw. Sitz und damit keinen steuerlichen Bezug zu den Niederlanden haben, stelle einen Hinderungsgrund zur Geltendmachung einer Verjährungseinrede in einem allfälligen Verfahren im ersuchenden Staat dar. Denn die Geltendmachung einer solchen Einrede sei in einem ausländischen Verfahren eine hohe Hürde und mit erheblichem Aufwand verbunden. Entsprechend sei die Verjährung im vorliegenden Verfahren zu beachten.</w:t>
      </w:r>
    </w:p>
    <w:p>
      <w:r>
        <w:rPr>
          <w:b/>
        </w:rPr>
        <w:t>E. 3.4.1</w:t>
      </w:r>
    </w:p>
    <w:p>
      <w:r>
        <w:t>Nach bundesgerichtlicher Rechtsprechung hat der ersuchte Staat im Amtshilfeverfahren zur Beurteilung des Erfordernisses der voraussichtlichen Erheblichkeit weder Einwände im Zusammenhang mit der Begründetheit des im Ausland geführten Steuerverfahrens noch allfällige Verfahrenshindernisse zu prüfen, die nach dem innerstaatlichen Recht des ersuchenden Staats die Verwendung der verlangten Informationen verhindern würden (vgl. BGE 144 II 206 E. 4.3 S. 214; Urteil des BGer 2C_662/2021, 2C_663/2021 vom 18. März 2022 E. 1.2.3). Dies gilt insbesondere für Verjährungseinreden. Eine Ausnahme davon besteh, wenn die Beschwerdeführenden dartun können, dass im Zusammenhang mit der vorliegenden Verjährungsthematik im ausländischen Verfahren elementare Verfahrensgrundsätze verletzt werden oder anderweitig schwere Mängel bestehen könnten (zum Ganzen: Urteil des BGer 2C_662/2021, 2C_663/2021 vom 18. März 2022 E. 5.4.2).</w:t>
      </w:r>
    </w:p>
    <w:p>
      <w:r>
        <w:rPr>
          <w:b/>
        </w:rPr>
        <w:t>E. 3.4.2</w:t>
      </w:r>
    </w:p>
    <w:p>
      <w:r>
        <w:t>Da der Beschwerdeführer 2 keine Verletzung von Verfahrensgrundsätzen oder anderweitige schwere Mängel geltend macht, sondern nur einen nicht weiter konkretisierten Mehraufwand für eine ausländische Verfahrensführung vorbringt, ist nicht ersichtlich, inwiefern in der vorliegend zu beurteilenden Angelegenheit eine Ausnahme vom Grundsatz bestehen sollte, dass der ersuchende Staat keine allfälligen Verfahrenshindernisse zu prüfen hat. Für die Geltendmachung der Verjährungseinrede ist der Beschwerdeführer 2 daher auf das allfällige ausländische Steuerverfahren zu verweisen.</w:t>
      </w:r>
    </w:p>
    <w:p>
      <w:r>
        <w:rPr>
          <w:b/>
        </w:rPr>
        <w:t>E. 4</w:t>
      </w:r>
    </w:p>
    <w:p>
      <w:r>
        <w:t>Nach dem Gesagten sind die Voraussetzungen für die in der angefochtenen Schlussverfügung vom 17. Dezember 2020 vorgesehene Amtshilfeleistung erfüllt. Die Beschwerde erweist sich als unbegründet und ist abzuweisen, soweit darauf einzutreten ist.</w:t>
      </w:r>
    </w:p>
    <w:p>
      <w:r>
        <w:rPr>
          <w:b/>
        </w:rPr>
        <w:t>E. 5.1</w:t>
      </w:r>
    </w:p>
    <w:p>
      <w:r>
        <w:t>Ausgangsgemäss haben die unterliegenden Beschwerdeführenden die Verfahrenskosten zu tragen (Art. 63 Abs. 1 VwVG). Diese sind angesichts des beim Bundesverwaltungsgericht hängigen Konnexverfahrens (A-306/2021) mit gleichen rechtlichen Fragen auf Fr. 3'000.- festzulegen (vgl. Art. 2 Abs. 1 i.V.m. Art. 4 des Reglements vom 21. Februar 2008 über die Kosten und Entschädigungen vor dem Bundesverwaltungsgericht [VGKE, SR 173.320.2]). Der einbezahlte Kostenvorschuss in der Höhe von Fr. 5'000.- ist zur Bezahlung dieser Kosten zu verwenden. Der Überschuss von Fr. 2'000.- ist den Beschwerdeführenden nach Rechtskraft dieses Urteils zurückzuerstatten.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