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A-3073/2020 vom 14. Dezember 2021</w:t>
      </w:r>
    </w:p>
    <w:p>
      <w:r>
        <w:t>Bundesverwaltungsgericht, 2021-12-14, FR</w:t>
      </w:r>
    </w:p>
    <w:p>
      <w:r>
        <w:rPr>
          <w:b/>
        </w:rPr>
        <w:t xml:space="preserve">Quelle: </w:t>
      </w:r>
      <w:r>
        <w:t>https://mcp.opencaselaw.ch/entscheid/bvger_A-3073_2020</w:t>
      </w:r>
    </w:p>
    <w:p>
      <w:r>
        <w:t>FR: TAF A-3073/2020 du 14 décembre 2021</w:t>
      </w:r>
    </w:p>
    <w:p>
      <w:r>
        <w:t>IT: TAF A-3073/2020 del 14 dicembre 2021</w:t>
      </w:r>
    </w:p>
    <w:p>
      <w:pPr>
        <w:pStyle w:val="Heading2"/>
      </w:pPr>
      <w:r>
        <w:t>Regeste</w:t>
      </w:r>
    </w:p>
    <w:p>
      <w:r>
        <w:t>Assistance administrative</w:t>
      </w:r>
    </w:p>
    <w:p>
      <w:pPr>
        <w:pStyle w:val="Heading2"/>
      </w:pPr>
      <w:r>
        <w:t>Erwägungen</w:t>
      </w:r>
    </w:p>
    <w:p>
      <w:r>
        <w:rPr>
          <w:b/>
        </w:rPr>
        <w:t>E. 5.1.1</w:t>
      </w:r>
    </w:p>
    <w:p>
      <w:r>
        <w:t>Dans un premier grief, le recourant avance « qu'à partir de 2009, la clause d'échange de renseignements applicable entre la Suisse et la France précisait concrètement que le secret bancaire ne pouvait pas être levé dans le cadre de demandes d'ordre générale ». Ainsi, dans la mesure où les personnes concernées par la demande ne feraient en l'espèce pas l'objet d'une demande personnelle, le secret bancaire relatif à leurs comptes devrait être maintenu.</w:t>
      </w:r>
    </w:p>
    <w:p>
      <w:r>
        <w:rPr>
          <w:b/>
        </w:rPr>
        <w:t>E. 5.1.2</w:t>
      </w:r>
    </w:p>
    <w:p>
      <w:r>
        <w:t>Le Tribunal de céans constate certes que la demande d'assistance administrative ne désigne pas nommément les personnes concernées. Conformément à la jurisprudence du Tribunal fédéral (cf. ATF 146 II 150 consid. 6.2.2), la demande française doit être qualifiée de demande collective.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(cf. consid. 2.1.2 supra). En outre, le ch. XI par. 3 let. a du Protocole additionnel s'applique dès la période fiscale 2010. La Cour de céans rappelle encore que la demande française, identifiant les contribuables par leurs numéros de compte, a été jugée admissible par le Tribunal fédéral pour les périodes fiscales dès le 1er janvier 2010. Il sied ainsi de rejeter le grief invoqué par le recourant.</w:t>
      </w:r>
    </w:p>
    <w:p>
      <w:r>
        <w:rPr>
          <w:b/>
        </w:rPr>
        <w:t>E. 5.2.1</w:t>
      </w:r>
    </w:p>
    <w:p>
      <w:r>
        <w:t>Dans un second grief, le recourant indique que les banques suisses appliquent l'échange automatique de renseignements avec l'étranger depuis le 1er janvier 2017. Or, dans la mesure où le compte bancaire visé par la demande aurait été fermé en janvier 2014, et au vu du principe de non-rétroactivité des lois, aucun échange automatique d'information ne peut avoir lieu.</w:t>
      </w:r>
    </w:p>
    <w:p>
      <w:r>
        <w:rPr>
          <w:b/>
        </w:rPr>
        <w:t>E. 5.2.2</w:t>
      </w:r>
    </w:p>
    <w:p>
      <w:r>
        <w:t>Le recourant semble perdre de vue que dans le cas d'espèce, l'autorité fiscale française a déposé une demande d'assistance administrative en date du 11 mai 2016. Il ne s'agit pas d'un cas d'échange automatique de renseignement comme semble le soutenir le recourant. La Cour de céans rappelle encore que le Tribunal fédéral a jugé - à tout le moins implicitement en considérant que la demande française du 11 mai 2016 était admissible - que les conditions formelles de l'assistance administrative étaient satisfaites (cf. consid. 4.1 supra). Il en découle que le grief du recourant est mal fondé et qu'il convient de le rejeter.</w:t>
      </w:r>
    </w:p>
    <w:p>
      <w:r>
        <w:rPr>
          <w:b/>
        </w:rPr>
        <w:t>E. 5.3.1</w:t>
      </w:r>
    </w:p>
    <w:p>
      <w:r>
        <w:t>Il reste encore à se déterminer sur le grief invoqué par le recourant en lien avec le décès de A._______ et B._______ et l'absence de responsabilité de leurs héritiers.</w:t>
      </w:r>
    </w:p>
    <w:p>
      <w:r>
        <w:rPr>
          <w:b/>
        </w:rPr>
        <w:t>E. 5.3.2</w:t>
      </w:r>
    </w:p>
    <w:p>
      <w:r>
        <w:t>Selon le recourant, dès lors que les deux personnes concernées par la décision finale de l'AFC du 12 mai 2020 sont décédées en 2013, respectivement en 2019, et dans la mesure où leurs héritiers ne seraient pas « responsables » de leurs avoirs bancaires, la demande d'assistance française aurait dû être rejetée. Le recourant avance encore qu'il ne connaissait pas l'existence du compte bancaire dont ses parents étaient titulaires auprès d'UBS. Pour cette raison, il n'avait pas la possibilité de régulariser ledit compte ou de le déclarer lors de la succession soldée fin avril 2020. Il est en outre exposé que le compte UBS détenu par les personnes concernées a été ouvert pour que ces derniers puissent virer les sommes nécessaires pour couvrir les coûts liés à leur santé, en lien avec leur maintien à domicile. Finalement, le recourant allègue que l'intégralité des montants en question a justement été utilisée pour régler les soins à domicile de ses parents.</w:t>
      </w:r>
    </w:p>
    <w:p>
      <w:r>
        <w:rPr>
          <w:b/>
        </w:rPr>
        <w:t>E. 5.3.3</w:t>
      </w:r>
    </w:p>
    <w:p>
      <w:r>
        <w:t>L'art. 18a LAAF a été introduit par le ch. I de la Loi fédérale du 21 juin 2019 sur la mise en oeuvre des recommandations du Forum mondial sur la transparence et l'échange de renseignements à des fins fiscales; il est entré en vigueur le 1er novembre 2019 (RO 2019 3161). Il prévoit désormais que l'assistance administrative peut être exécutée concernant des personnes décédées. Leurs successeurs en droit se voient conférer le statut de partie. Dans les procédures d'assistance administrative visant des personnes décédées, leurs successeurs légaux ont qualité de partie et qualité pour recourir (cf. FF 2019 277, 301 s.). Avant son entrée en vigueur, il ne pouvait être fourni d'assistance administrative pour des personnes décédées, qui n'avaient pas la capacité d'être partie et d'ester en justice (cf. arrêts du TAF A-5579/2020 du 23 août 2021 consid. 9.1 ; A-2664/2020 du 26 janvier 2021 consid. 6.6 ; A-6829/2010 du 4 février 2011 consid. 3.1 ; A-6630/2010 du 19 juillet 2011 consid. 3.1).</w:t>
      </w:r>
    </w:p>
    <w:p>
      <w:r>
        <w:rPr>
          <w:b/>
        </w:rPr>
        <w:t>E. 5.3.4</w:t>
      </w:r>
    </w:p>
    <w:p>
      <w:r>
        <w:t>L'adoption de cette nouvelle disposition n'a pas été accompagnée d'une disposition transitoire particulière. D'une manière générale, les dispositions qui régissent l'assistance administrative, par exemple celles qui prévoient le contenu de la demande d'assistance, sont par nature procédurales. Les conventions de double imposition posent des règles qui fixent les exigences matérielles de cette procédure, alors que le droit interne sert à en concrétiser l'exécution en Suisse (ATF 143 II 628 consid. 4.3; cf. aussi ATF 146 II 150 consid. 5.4; 139 II 404 consid. 1.1 ; arrêt du TF 2C_880/2020 du 15 juin 2021 consid. 6.1). En tant que règle procédurale, il faut admettre que l'art. 18a LAAF est donc d'application immédiate (arrêt du TAF A-5579/2020 du 23 août 2021 consid. 9.2). En l'espèce, la décision attaquée date du 12 mai 2020. Elle est ainsi postérieure à l'entrée en vigueur de l'art. 18a LAAF, de telle sorte qu'elle est pleinement applicable à la présente procédure.</w:t>
      </w:r>
    </w:p>
    <w:p>
      <w:r>
        <w:rPr>
          <w:b/>
        </w:rPr>
        <w:t>E. 5.3.5</w:t>
      </w:r>
    </w:p>
    <w:p>
      <w:r>
        <w:t>Le but premier de cette disposition est de permettre la transmission des renseignements vraisemblablement pertinents pour des personnes ne disposant pas de la capacité d'être partie ou d'ester en justice telle que les personnes décédées (FF 2019 277, 301). C'est pour résoudre ce problème de « capacité » que cette disposition a été adoptée et prévoit que les personnes (même décédées), les masses patrimoniales distinctes et les autres entités juridiques au sujet desquelles des renseignements sont réclamés dans la demande d'assistance administrative se voient conférer le statut de partie (FF 2019 277, 301). Dans les procédures d'assistance administrative visant des personnes décédées, leurs successeurs légaux ont qualité de partie et qualité pour recourir. Expliquant le contexte dans lequel cette disposition a été adoptée, le Conseil fédéral indique: « Selon le droit suisse, il ne peut être fourni d'assistance administrative pour des personnes décédées, qui n'ont pas la capacité d'être partie et d'ester en justice. Il en va de même pour la succession. Afin qu'il soit tout de même possible de fournir une assistance administrative dans les procédures visant une personne décédée, la pratique actuelle de l'AFC consiste à déterminer qui sont les éventuels successeurs légaux pouvant servir de destinataires de la décision. Cette pratique n'est cependant possible que si les successeurs légaux disposent selon le droit suisse de la capacité d'être partie et d'ester en justice » (FF 2019 277, 300).</w:t>
      </w:r>
    </w:p>
    <w:p>
      <w:r>
        <w:rPr>
          <w:b/>
        </w:rPr>
        <w:t>E. 5.3.6</w:t>
      </w:r>
    </w:p>
    <w:p>
      <w:r>
        <w:t>Le Tribunal de céans constate que la demande d'assistance administrative litigieuse vise formellement A._______ et B._______. Or, tant A._______ que B._______ sont décédés. Selon l'art. 18a LAAF, l'assistance administrative peut être exécutée concernant des personnes décédées et leurs successeurs en droit se voient conférer le statut de partie (cf. consid. 6.2 et 6.3 supra). Lorsque le patrimoine de personnes décédées passe aux héritiers de ceux-ci, les héritiers doivent déclarer et payer les impôts correspondant aux biens qu'ils ont reçus. Ainsi, contrairement à ce qu'avance le recourant, les droits et les obligations résultant des avoirs bancaires détenus par les personnes concernées passent à leurs héritiers et il est faux d'avancer que les héritiers ne seraient pas « responsables » des avoirs bancaires des de cujus. Partant, nonobstant le décès des personnes concernées, la demande d'assistance remplit toujours la condition de la pertinence vraisemblable. Le recourant avance encore qu'il ne connaissait pas formellement l'existence du compte bancaire que ses parents détenaient auprès d'UBS. Toutefois, le Tribunal relève que le recourant indique ensuite avoir : « uniquement accepté entre 2005 et 2013 d'ouvrir un compte UBS pour que ses parents puissent lui virer des sommes nécessaires aux dépenses extrêmement importantes pour maintenir à domicile son père atteint de la maladie de Parkinson. L'intégralité de ces virements « familiaux » a été utilisée pour régler les infirmières, gardes à domicile, soins...». Il découle de ces déclarations que le recourant avait bel et bien connaissance de l'existence d'un compte bancaire détenu par ses parents auprès d'UBS. Au surplus, le Tribunal relève qu'il importe peu de savoir à quelles fins l'argent du compte était utilisé. Aussi, quand bien même le recourant n'aurait pas eu connaissance dudit compte, cela ne changerait rien au fait que l'assistance administrative concernant des personnes décédées peut être exécuté et que les héritiers viennent aux droits et obligations de ces derniers. Il en découle que le grief soulevé par le recourant en lien avec le décès des personnes concernées et « l'irresponsabilité » des héritiers doit être rejeté.</w:t>
      </w:r>
    </w:p>
    <w:p>
      <w:r>
        <w:rPr>
          <w:b/>
        </w:rPr>
        <w:t>E. 5.4.1</w:t>
      </w:r>
    </w:p>
    <w:p>
      <w:r>
        <w:t>Le Tribunal de céans constate encore qu'au vu de la jurisprudence présentée ci-avant (ATF 146 II 150), les renseignements requis par l'autorité fiscale française sont vraisemblablement pertinents (cf. ATF 146 II 150 consid. 6.1.3 et 6.2 ; arrêt du TAF A-3045/2020 du 1er avril 2020 consid. 5.1.2 ; cf. aussi consid. 2.3 supra). Les données à transmettre en l'espèce sont en effet de même nature (données bancaires) que celles traitées dans l'ATF 146 II 150 précité.</w:t>
      </w:r>
    </w:p>
    <w:p>
      <w:r>
        <w:rPr>
          <w:b/>
        </w:rPr>
        <w:t>E. 5.4.2</w:t>
      </w:r>
    </w:p>
    <w:p>
      <w:r>
        <w:t>En second lieu, le Tribunal ne voit pas de motifs qui permettraient de remettre en doute le respect du principe de bonne foi et de l'interdiction des fishing expeditions (cf. ATF 146 II 150 consid. 6.1.3 et 6.2 ; arrêts du TAF A-3045/2020 ; A-3047/2020 ; A-3048/2020, tous du 29 mars 2021 consid. 1.4.3 [le TF a déclaré irrecevables les recours déposés contre ces décisions: arrêts du TF 2C_316/2021; 2C_319/202; 2C_320/2021, tous du 30 avril 2021] consid. 2.4 et 2.5 supra), du principe de subsidiarité (arrêts du TAF A-3045/2020; A-3047/2020; A-3048/2020, tous du 29 mars 2021 consid. 1.4.3 [le TF a déclaré irrecevables les recours déposés contre ces décisions : 2C_316/2021 ; 2C_319/2021 ; 2C_320/2021, tous du 30 avril 2021] consid. 2.7 supra), l'autorité requérante ayant indiqué dans sa demande du 11 mai 2016 qu'elle avait épuisé toutes les sources possibles pour obtenir ces informations sans y aboutir. Au demeurant, rien ne laisse penser que le droit suisse ou le droit interne français s'opposerait à la transmission à l'étranger des documents litigieux (cf. consid. 2.8 supra). Enfin, la Cour de céans a jugé que les codes de domicile français figurant sur les listes B et C constituaient des critères d'assujettissement suffisants pour considérer que les personnes y figurant étaient assujetties en France durant la période de contrôle (cf. arrêt du TAF A-5662/2020 du 10 mai 2021 consid. 5 [le TF a déclaré irrecevable le recours déposé contre cette décision: arrêt du TF 2C_435/2021 du 2 juin 2021].</w:t>
      </w:r>
    </w:p>
    <w:p>
      <w:r>
        <w:rPr>
          <w:b/>
        </w:rPr>
        <w:t>E. 5.4.3</w:t>
      </w:r>
    </w:p>
    <w:p>
      <w:r>
        <w:t>L'autorité fiscale française n'a, pour le surplus, pas violé le principe de spécialité respectivement aucun indice ne permet de conclure qu'elle a l'intention de violer ledit principe. Au contraire, l'autorité requérante a même expressément fourni des garanties suffisantes concernant le respect de ce principe (cf. ATF 146 II 150 consid. 7; arrêts du TAF A-3045/2020; A-3047/2020; A-3048/2020, tous du 29 mars 2021 consid. 1.4.3 [le TF a déclaré irrecevables les recours déposés contre ces décisions: arrêts du TF 2C_316/2021; 2C_319/2021 ; 2C_320/2021, tous du 30 avril 2021). Compte tenu cependant de la jurisprudence du Tribunal fédéral du 13 juillet 2020 (ATF 147 II 13 consid. 3.5 ; 2C_545/2019 précité consid. 4.7), intervenue postérieurement à la décision querellée et relative au principe de spécialité (consid. 2.6 supra), il convient que l'AFC informe l'autorité requérante de l'étendue de la restriction d'utilisation lors de la transmission des informations requises plus précisément que cela ne résulte du ch. 3 du dispositif de la décision querellée. Il sied ainsi de rappeler à l'autorité requérante que les informations transmises ne peuvent être utilisées qu'à l'encontre des personnes concernées, à savoir A._______ et B._______, respectivement contre l'hoirie de feu A._______ et B._______, conformément à l'art. 28 par. 2 CDI CH-FR.</w:t>
      </w:r>
    </w:p>
    <w:p>
      <w:r>
        <w:rPr>
          <w:b/>
        </w:rPr>
        <w:t>E. 6</w:t>
      </w:r>
    </w:p>
    <w:p>
      <w:r>
        <w:t>Au vu de ce qui précède, il sied de rejeter le recours. Le recourant, qui succombe, doit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RS 173.320.2]). Ils seront prélevés sur l'avance de frais déjà versée. Vu l'issue de la cause, il n'est pas alloué de dépens (cf.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