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A-3052/2021 vom 27. Juli 2022</w:t>
      </w:r>
    </w:p>
    <w:p>
      <w:r>
        <w:t>Bundesverwaltungsgericht, 2022-07-27, FR</w:t>
      </w:r>
    </w:p>
    <w:p>
      <w:r>
        <w:rPr>
          <w:b/>
        </w:rPr>
        <w:t xml:space="preserve">Quelle: </w:t>
      </w:r>
      <w:r>
        <w:t>https://mcp.opencaselaw.ch/entscheid/bvger_A-3052_2021</w:t>
      </w:r>
    </w:p>
    <w:p>
      <w:r>
        <w:t>FR: TAF A-3052/2021 du 27 juillet 2022</w:t>
      </w:r>
    </w:p>
    <w:p>
      <w:r>
        <w:t>IT: TAF A-3052/2021 del 27 luglio 2022</w:t>
      </w:r>
    </w:p>
    <w:p>
      <w:pPr>
        <w:pStyle w:val="Heading2"/>
      </w:pPr>
      <w:r>
        <w:t>Regeste</w:t>
      </w:r>
    </w:p>
    <w:p>
      <w:r>
        <w:t>Assistance administrative</w:t>
      </w:r>
    </w:p>
    <w:p>
      <w:pPr>
        <w:pStyle w:val="Heading2"/>
      </w:pPr>
      <w:r>
        <w:t>Erwägungen</w:t>
      </w:r>
    </w:p>
    <w:p>
      <w:r>
        <w:rPr>
          <w:b/>
        </w:rPr>
        <w:t>E. 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w:t>
      </w:r>
    </w:p>
    <w:p>
      <w:r>
        <w:rPr>
          <w:b/>
        </w:rPr>
        <w:t>E. 2</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Tout d'abord, le Tribunal relève que le recourant a requis, à titre (pré)provisionnel, à ce qu'interdiction soit faite à l'AFC de transmettre des informations de quelque nature que ce soit à l'autorité requérante jusqu'à l'issue de la procédure, sous réserve du fait que la procédure nationale suit son cours ou qu'un recours « a été déposé » sans préciser l'identité de la partie ayant formé recours. Dans la mesure où la jurisprudence du Tribunal relative aux « status updates » est claire sur ce point (ATF 144 II 130 consid. 6) et la pratique de l'AFC conforme à cette dernière, cette question devient sans objet et ne sera dès lors pas traitée plus en avant.</w:t>
      </w:r>
    </w:p>
    <w:p>
      <w:r>
        <w:rPr>
          <w:b/>
        </w:rPr>
        <w:t>E. 2.3</w:t>
      </w:r>
    </w:p>
    <w:p>
      <w:r>
        <w:t>Par ailleurs, à titre préalable, le recourant a conclu à la communication de toutes décisions rendues à l'encontre de K._______ ou autre individu/société dans la présente procédure, de leur(s) éventuels(s) recours et autres actes de procédure et à l'octroi d'un délai pour se déterminer à leur(s) égard(s), en particulier la prise de position de K._______ suite au courrier du 10 mars 2021 de l'AFC octroyant un accès complémentaire au dossier.</w:t>
      </w:r>
    </w:p>
    <w:p>
      <w:r>
        <w:rPr>
          <w:b/>
        </w:rPr>
        <w:t>E. 2.4</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2.5</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2.6</w:t>
      </w:r>
    </w:p>
    <w:p>
      <w:r>
        <w:t>En matière d'assistance administrative internationale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administrative en matière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2.7</w:t>
      </w:r>
    </w:p>
    <w:p>
      <w:r>
        <w:t>Le droit de consulter le dossier est un aspect du droit d'être entendu garanti par l'art. 29 al. 2 Cst. Il s'étend à toutes les pièces décisives figurant au dossier et garantit que les parties puissent prendre connaissance des éléments fondant la décision de s'exprimer à leur sujet. L'art. 29 al. 2 Cst. ne confère toutefois pas le droit de prendre connaissance de documents purement internes qui sont destinés à la formation de l'opinion et qui n'ont pas le caractère de preuves (cf. ATF 129 V 472 consid. 4.2.2 ; 125 II 473 consid. 4a et 115 V 297 consid. 2g/aa ; arrêt du TF 8C_659/2013 du 4 juin 2014 consid. 3.2 et les références citées ; cf. également Thierry Tanquerel, Manuel de droit administratif, 2ème édition, 2018, n°1544).</w:t>
      </w:r>
    </w:p>
    <w:p>
      <w:r>
        <w:rPr>
          <w:b/>
        </w:rPr>
        <w:t>E. 2.8</w:t>
      </w:r>
    </w:p>
    <w:p>
      <w:r>
        <w:t>En l'espèce, l'AFC a rendu une décision à l'encontre du recourant et quatre décisions séparées à l'encontre des sociétés H._______, I._______, J._______ et de K._______. Ces quatre dernières décisions concernent respectivement la transmission à l'autorité requérante des informations relatives à ces entités et à feu L._______. Dans la mesure où le recourant a déjà eu accès à l'ensemble des informations le concernant dont la transmission est envisagée et a pu pleinement se déterminer à ce sujet par-devant l'autorité inférieure, il apparaît que ses droits d'être entendu et de consulter le dossier ont été pleinement respectés dans la présente procédure. Pour le surplus, puisque selon la jurisprudence, la qualité pour recourir est exclue si le recourant fait valoir non pas un intérêt qui lui est propre, mais l'intérêt de tiers (cf. ATF 143 II 506 consid. 5.1 ; 132 II 162 consid. 2.1.2) et qu'il s'ensuit que le recourant n'est pas légitimé à formuler des conclusions pour faire valoir des intérêts de tiers (arrêt du TF 2C_1037/2019 du 27 août 2020 consid. 6.2), il n'apparaît pas nécessaire de lui communiquer les décisions rendues à l'encontre des sociétés concernées et de K._______, ni de lui octroyer un délai pour se déterminer à leurs égards. Le même raisonnement s'applique concernant l'éventuelle prise de position de K._______ suite au courrier du 10 mars 2021 de l'AFC, qui, si elle existe, n'a pas été produite en cause.</w:t>
      </w:r>
    </w:p>
    <w:p>
      <w:r>
        <w:rPr>
          <w:b/>
        </w:rPr>
        <w:t>E. 2.9</w:t>
      </w:r>
    </w:p>
    <w:p>
      <w:r>
        <w:t>Cela étant précisé, sur le fond et en substance, le recourant se plaint que dans la mesure où l'état de fait présenté dans la demande d'assistance reposerait sur de fausses déclarations de C._______, l'AFC aurait violé les principes de la bonne foi, de l'interdiction de la pêche aux renseignements et de la pertinence vraisemblable. Le recourant requiert également le retrait des l'Enclosures (...) des informations dont la transmission est envisagée qui contiendraient des documents, soit des notes internes classées dans la documentation KYC, qui n'auraient pas été demandées par l'autorité requérante. Ces Enclosures contiendraient en outre des informations matérielles relevant de périodes antérieures au 1er avril 2011 et postérieures à la clôture du compte. Par ailleurs, puisque selon le recourant la demandes d'assistance aurait été déposée à son encontre, en raison de son lien de parenté avec un haut dirigeant du parti d'opposition en Inde, et dans un but de persécution politique, la transmission de renseignements violerait l'ordre public suisse. Le recourant soutient également que dans la mesure où l'Inde aurait pour intention de partager les informations transmises avec des autorités de poursuite non-fiscales et d'utiliser ces renseignements notamment à des fins pénales, la transmission desdites informations serait contraire au principe de spécialité. A cet égard, le recourant se plaint qu'il serait notoire que l'Inde ne respecte pas les droits fondamentaux, notamment en appliquant des lois pénales à titre rétroactif. Le recourant reproche que dans la mesure où le niveau de protection des données serait largement insuffisant en Inde, la décision de l'AFC violerait la législation suisse topique ainsi que ses droits fondamentaux. Par ailleurs, le recourant demande que les informations permettant de l'identifier soient caviardées avant la publication de l'arrêt par le Tribunal. Enfin, et à titre subsidiaire, le recourant requiert que l'AFC exige une garantie expresse de l'Inde de n'utiliser les données transmises qu'aux fins de sa législation fiscale interne à l'exclusion de poursuites aux fins pénales, en particulier le Black Money Act de 2015.</w:t>
      </w:r>
    </w:p>
    <w:p>
      <w:r>
        <w:rPr>
          <w:b/>
        </w:rPr>
        <w:t>E. 2.10</w:t>
      </w:r>
    </w:p>
    <w:p>
      <w:r>
        <w:t>Le Tribunal examinera d'abord et d'office la question du droit applicable ratione temporis à la demande d'assistance administrative (consid. 3 infra). Il passera ensuite à l'examen des griefs relatifs à la bonne foi, à la pertinence vraisemblable des informations et à l'interdiction de la pêche aux renseignements (consid. 4 infra). La prétendue violation de l'ordre public suisse sera ensuite abordée (consid. 5 infra), suivie des questions de l'utilisation des renseignements à des fins pénales en relation avec le principe de spécialité (consid. 6 infra) et du respect de la protection des données (consid. 7 infra). Enfin le Tribunal examinera les griefs relatifs au caviardage de l'arrêt avant sa publication par le Tribunal (consid. 8 infra) et à l'obtention d'une garantie auprès de l'autorité requérante (consid. 9 infra).</w:t>
      </w:r>
    </w:p>
    <w:p>
      <w:r>
        <w:rPr>
          <w:b/>
        </w:rPr>
        <w:t>E. 3</w:t>
      </w:r>
    </w:p>
    <w:p>
      <w:r>
        <w:t>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arrêt du TF 2C_791/2021 du 6 juillet 2022 consid. 6).</w:t>
      </w:r>
    </w:p>
    <w:p>
      <w:r>
        <w:rPr>
          <w:b/>
        </w:rPr>
        <w:t>E. 3.2</w:t>
      </w:r>
    </w:p>
    <w:p>
      <w:r>
        <w:t>Dans le cas de l'Inde, l'art. 14 du Protocole additionnel 3 prévoit ce qui suit au titre de disposition transitoire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En l'espèce, il apparaît que conformément à l'art. 26 par. 1 CDI IN-CH, à l'art. 14 par. 3 du Protocole 3, à l'art. 3 ch. 1 let. k CDI IN-CH et à la jurisprudence (arrêt du TAF A-4232/2013 du 17 décembre 2013 consid. 6.2.4.2, voir aussi plus récemment arrêts du TF 2C_141/2018 du 24 juillet 2020 consid. 11.1 ; 2C_88/2018 du 7 décembre 2018 consid. 3 ; 2C_1162/2016 du 4 octobre 2017 consid. 4.1), la transmission envisagée par l'AFC des informations à compter du 1er avril 2011 est conforme au droit.</w:t>
      </w:r>
    </w:p>
    <w:p>
      <w:r>
        <w:rPr>
          <w:b/>
        </w:rPr>
        <w:t>E. 4</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4.1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4.2</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4.3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4.5</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4.6</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4.7</w:t>
      </w:r>
    </w:p>
    <w:p>
      <w:r>
        <w:t>Selon la jurisprudence, la relation entre la banque et ses clients est de nature contractuelle et s'inscrit dans la durée. Pour cette raison, l'assistance administrative ne peut se limiter aux faits survenus après le 1er avril 2011. Ainsi, les documents d'ouverture de compte bancaire, autres accords et documents KYC, créés avant le 1er avril 2011, qui régissent la relation entre la banque et le client pendant toute sa durée contractuelle, doivent être transmis si les conditions de l'assistance administrative sont remplies et que la relation contractuelle se poursuit après le 1er avril 2011. Cependant, les passages des documents susmentionnés, dont la pertinence pour les années d'imposition à compter du 1er avril 2011 est peu probable, peuvent être caviardés. Ceci s'applique également au « profil client » (arrêt du TF 2C_703/2020 du 12 mars 2021 consid. 7.4.2).</w:t>
      </w:r>
    </w:p>
    <w:p>
      <w:r>
        <w:rPr>
          <w:b/>
        </w:rPr>
        <w:t>E. 4.8</w:t>
      </w:r>
    </w:p>
    <w:p>
      <w:r>
        <w:t>Ainsi, l'envoi d'un « profil client » à l'État requérant dans le cadre des documents d'ouverture de compte bancaire est finalement jugé à l'aune de son importance pour les exercices fiscaux à partir de l'année 2011. Le facteur déterminant pour cette évaluation repose sur le fait que le « profil client » permet de tirer des conclusions sur les relations entre les bénéficiaires effectifs. Ces informations sont pertinentes dans le cadre de la clarification de l'ayant droit économique lors de l'ouverture du compte bancaire pour tous les exercices fiscaux à partir de l'année 2011 (arrêt du TF 2C_703/2020 du 12 mars 2021 consid. 7.4.3).</w:t>
      </w:r>
    </w:p>
    <w:p>
      <w:r>
        <w:rPr>
          <w:b/>
        </w:rPr>
        <w:t>E. 4.9</w:t>
      </w:r>
    </w:p>
    <w:p>
      <w:r>
        <w:t>Le recourant se plaint que, dans la mesure où l'état de fait présenté dans la demande d'assistance administrative reposerait exclusivement sur des déclarations mensongères de C._______, un ressortissant indien basé à (...), déposées dans le but de servir ses propres intérêts, l'autorité requérante aurait violé le principe de la bonne foi. A l'appui de son argument, le recourant a produit une requête de l' « Enforcement Directorate » adressée à un juge indien visant à annuler la mise en liberté de C._______. Pour ces raisons, le recourant allègue qu'en l'absence de tout soupçon justifié, l'autorité requérante aurait déposé sa demande à des fins de recherche de preuve en violation du principe de l'interdiction des fishing expeditions. A titre subsidiaire, le recourant requiert également le retrait des informations des l'Enclosures (...) dont la transmission est envisagée qui contiendraient des documents, soit des notes internes classées dans la documentation KYC, qui n'auraient pas été demandées par l'autorité requérante. Le recourant se plaint que ces Enclosures contiendraient des informations matérielles relevant de périodes antérieures au 1er avril 2011 et postérieures à la clôture du compte.</w:t>
      </w:r>
    </w:p>
    <w:p>
      <w:r>
        <w:rPr>
          <w:b/>
        </w:rPr>
        <w:t>E. 4.10</w:t>
      </w:r>
    </w:p>
    <w:p>
      <w:r>
        <w:t>En l'espèce, la demande d'assistance administrative contient tous les éléments énumérés au chiffre 10 ad art. 26 du Protocole additionnel, de sorte que ces éléments devraient suffire à démontrer la pertinence vraisemblable de la demande (cf. consid. 4.5 et 4.6 supra). Par ailleurs, il ressort de l'état de fait exposé dans ladite demande que, selon le résultat d'une enquête et d'une perquisition menée par l'autorité requérante, le fils du recourant aurait dissimulé des fonds à l'étranger par l'intermédiaire de son partenaire d'affaire C._______, un ressortissant indien basé à (...), détenteur de la société F._______. Ainsi, C._______ aurait, par l'entremise de sa société, facilité l'importation de panneaux solaires de fabrication chinoise par la société D._______, contrôlée par le fils du recourant. Dans ce cadre, C._______ aurait reçu des fonds non-comptabilisés du fils du recourant qu'il aurait ensuite transférés, sur instruction de ce dernier, sur des comptes bancaires à l'étranger dont le recourant serait le bénéficiaire effectif, en Suisse. La demande d'assistance indienne précise qu'en lien avec les investigations menées dans la procédure, les déclarations de C._______ ont été enregistrées sous serment. Ce montage fiscal aurait ainsi eu pour conséquence de dissimuler des avoirs du recourant au fisc indien. Par ailleurs, selon les termes utilisés par l'autorité requérante : The bank account statements and details of transactions from (...) 2003 and other relevant documents would provide a trail of the funds channeled through foreign entities and help to establish the exact undisclosed income of A._______ &amp; B._______. The bank account statements would also enable the Indian Tax Authorities to discover any new foreign entities owned or controlled by A._______ &amp; B._______.</w:t>
      </w:r>
    </w:p>
    <w:p>
      <w:r>
        <w:rPr>
          <w:b/>
        </w:rPr>
        <w:t>E. 4.11</w:t>
      </w:r>
    </w:p>
    <w:p>
      <w:r>
        <w:t>Comme expliqué ci-dessus, la Suisse est liée par l'état de fait et les déclarations présentés dans la demande, dans la mesure où ceux-ci ne peuvent pas être immédiatement réfutés (sofort entkräftet) en raison de fautes, lacunes ou de contradictions manifestes (cf. consid. 4 supra). A cet égard, il apparait que la fausseté alléguée des déclarations de C._______ se fonde sur une requête l'« Enforcement Directorate » adressée à un juge indien, antérieure au dépôt de la demande d'assistance administrative, visant à annuler la mise en liberté de cette personne dans le cadre d'une autre procédure conduite devant une autorité distincte de l'autorité requérante. Puisque ce document ne concerne pas la même procédure et qu'aucune référence n'est faite aux déclarations déposées sous serment dans le cadre de l'enquête de l'autorité requérante, ledit document ne constitue pas un élément établi et concret propre à remettre mettre en doute les allégations de l'autorité requérante et renverser la présomption de bonne foi de l'Etat indien (cf. consid. 4.1 supra).</w:t>
      </w:r>
    </w:p>
    <w:p>
      <w:r>
        <w:rPr>
          <w:b/>
        </w:rPr>
        <w:t>E. 4.12</w:t>
      </w:r>
    </w:p>
    <w:p>
      <w:r>
        <w:t>Par ailleurs, il ressort de la demande d'assistance administrative que les renseignements requis sont en relation directe avec le complexe de faits exposés dans la demande et que l'autorité requérante cherche à clarifier. A cet égard, suivant les informations fournies par la banque, A._______ était titulaire, ayant droit économique ou au bénéfice d'une procuration sur les relations contractuelles no (...) ouverte à son nom, no (...) ouverte au nom de la société H._______, no (...) ouverte au nom de la société I._______ et no (...) ouverte au nom de la société J._______ Ainsi, puisque les informations à transmettre répondent aux questions posées dans la demande d'assistance administrative, laquelle mentionne notamment le compte no (...), les renseignements requis sont manifestement propres à faire progresser l'enquête fiscale ou en rapport avec elle.</w:t>
      </w:r>
    </w:p>
    <w:p>
      <w:r>
        <w:rPr>
          <w:b/>
        </w:rPr>
        <w:t>E. 4.13</w:t>
      </w:r>
    </w:p>
    <w:p>
      <w:r>
        <w:t>A cet égard, il apparaît que l'Enclosure (...) des documents dont la transmission est envisagée, est intitulée « Old client history » et contient le numéro de la relation bancaire en cause no (...). Ces documents mentionnent en outre des renseignements sur le recourant, bénéficiaire de ladite relation, et de son fils, abrégés sous la forme des initiales A._______ et B._______. Outre le numéro de compte en cause, l'Enclosure (...) contient un résumé de différentes communications en lien avec le compte concerné.</w:t>
      </w:r>
    </w:p>
    <w:p>
      <w:r>
        <w:rPr>
          <w:b/>
        </w:rPr>
        <w:t>E. 4.14</w:t>
      </w:r>
    </w:p>
    <w:p>
      <w:r>
        <w:t>Pour ces raisons, le Tribunal constate que les Enclosure (...) font partie des documents KYC et/ou profile client soumis par la banque. En effet, dans sa demande, l'autorité requérante a expressément requis : (vi) Complete account opening forms and KYC (Know your customer) documents in relation to Bank Accounts held by A._______. Par ailleurs, il apparaît, au vu des éléments présentés ci-dessus, qu'il existe un certain lien entre les documents à transmettre, notamment les Enclosures (...) et le complexe de faits que l'autorité requérante cherche à éclaircir par sa demande. Ainsi, dans la mesure où ces renseignements ont été requis et où il existe une possibilité raisonnable qu'ils se révéleront pertinents, la transmission des informations apparaît comme conforme au principe de proportionnalité (cf. consid. 4.2 et ss supra). Pour ces raisons les renseignements à transmettre peuvent être considérés comme vraisemblablement pertinents et la demande d'assistance présentée par l'autorité requérante ne constitue dès lors pas une pêche au renseignement. Partant, les griefs du recourant doivent être rejetés sur ce point.</w:t>
      </w:r>
    </w:p>
    <w:p>
      <w:r>
        <w:rPr>
          <w:b/>
        </w:rPr>
        <w:t>E. 4.15</w:t>
      </w:r>
    </w:p>
    <w:p>
      <w:r>
        <w:t>Enfin, en application de la jurisprudence récente (cf. supra consid. 4.7 s.), et par analogie au « profil client », le Tribunal relève que des documents KYC des Enclosures (...) contiennent des informations antérieures au 1er avril 2011, soit des indications à caractère temporel générales telles que « (...) will start in 2011 », « (...) should begin by early 2011 » ou encore « von Anfang 2011 ». Les documents précités régissent la relation entre la banque et le client pendant toute sa durée contractuelle. Dans la mesure où ces renseignements permettent de clarifier le complexe de faits relatif au compte bancaire concerné pour tous les exercices fiscaux à partir de l'année 2011, ces documents doivent être considérés comme vraisemblablement pertinents. Partant, la transmission envisagée par l'AFC des Enclosures (...) à l'autorité requérante est conforme au droit et le grief du recourant doit être rejeté sur ce point.</w:t>
      </w:r>
    </w:p>
    <w:p>
      <w:r>
        <w:rPr>
          <w:b/>
        </w:rPr>
        <w:t>E. 5</w:t>
      </w:r>
    </w:p>
    <w:p>
      <w:r>
        <w:t>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5.1</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5.2</w:t>
      </w:r>
    </w:p>
    <w:p>
      <w:r>
        <w:t>Selon le recourant dans la mesure où la demande d'assistance administrative aurait été déposée sans fondements, sur la base de fausses déclarations de C._______ et dans un but de persécution politique en raison du lien de parenté du recourant avec un haut dirigeant du parti d'opposition en Inde, la transmission de renseignements violerait l'ordre public suisse.</w:t>
      </w:r>
    </w:p>
    <w:p>
      <w:r>
        <w:rPr>
          <w:b/>
        </w:rPr>
        <w:t>E. 5.3</w:t>
      </w:r>
    </w:p>
    <w:p>
      <w:r>
        <w:t>En l'espèce, il apparait que le recourant a des liens familiaux avec M._______, un haut dirigeant du parti d'opposition en Inde. Comme expliqué ci-dessus, le Tribunal ne retient pas de renversement de la présomption la bonne foi de l'autorité requérante et considère que les informations à transmettre apparaissent comme vraisemblablement pertinentes (cf. consid. 4 ss supra). Dès lors, il n'apparaît pas que la demande ait été déposée sans fondements et sur la base de fausses déclarations. Pour le surplus, les allégations relatives à des persécutions politiques et les pièces produites par le recourant, en particulier des articles de la presse indienne, reposent sur des éléments que le Tribunal n'est pas en mesure de vérifier et dont les liens exacts avec la présente cause ne peuvent être clairement établis. Pour ces raisons, le Tribunal ne retient pas que la demande ait été déposée à des fins de persécution politique, ce qui violerait l'ordre public (cf. supra consid. 5 s.). Le grief du recourant doit dès lors être rejeté sur ce point. Au surplus le Tribunal rappelle qu'une fois les informations transmises, le recourant reste protégé par le principe de spécialité (cf. infra consid. 6).</w:t>
      </w:r>
    </w:p>
    <w:p>
      <w:r>
        <w:rPr>
          <w:b/>
        </w:rPr>
        <w:t>E. 6</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6.1</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6.3</w:t>
      </w:r>
    </w:p>
    <w:p>
      <w:r>
        <w:t>Selon l'art. 26 par. 2 CDI CH-IN première phrase,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w:t>
      </w:r>
    </w:p>
    <w:p>
      <w:r>
        <w:rPr>
          <w:b/>
        </w:rPr>
        <w:t>E. 6.4</w:t>
      </w:r>
    </w:p>
    <w:p>
      <w:r>
        <w:t>Ainsi cette disposition permet d'utiliser les informations transmises dans le cadre de l'assistance administrative fiscale également pour une procédure pénale fiscale (Strafverfolgerung, perseguimento penale).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6.5</w:t>
      </w:r>
    </w:p>
    <w:p>
      <w:r>
        <w:t>La dernière phrase de l'art. 26 par. 2 CDI CH-IN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(arrêt du TF 2C_141/2018 du 24 juillet 2020 consid. 9.34, arrêt du TF 2C_88/2018 du 7 décembre 2018 consid. 8.2 et la référence).</w:t>
      </w:r>
    </w:p>
    <w:p>
      <w:r>
        <w:rPr>
          <w:b/>
        </w:rPr>
        <w:t>E. 6.6</w:t>
      </w:r>
    </w:p>
    <w:p>
      <w:r>
        <w:t>Selon l'art. 1 de la Convention du 4 novembre 1950 de sauvegarde des droits de l'homme et des libertés fondamentales (CEDH, RS 0.101), les Hautes Parties contractantes reconnaissent à toute personne relevant de leur juridiction les droits et libertés définis au titre I de la présente Convention. Par ailleurs, selon l'art. 6 de dite convention, toute personne a droit à un procès équitable.</w:t>
      </w:r>
    </w:p>
    <w:p>
      <w:r>
        <w:rPr>
          <w:b/>
        </w:rPr>
        <w:t>E. 6.7</w:t>
      </w:r>
    </w:p>
    <w:p>
      <w:r>
        <w:t>Selon le recourant, l'Inde aurait expressément admis qu'elle utiliserait les informations à des fins pénales, notamment en appliquant le Black Money Act, une loi apparemment pénale, à titre rétroactif, ce qui serait contraire aux droits fondamentaux du recourant et à l'ordre public. A l'appui de son argument, le recourant allègue notamment que les autorités indiennes auraient introduit des poursuites pénales à son encontre et à celle de son fils sur la base du résultat d'une demande d'assistance administrative présentée à l'autorité compétente de (...). Le recourant soutient qu'il serait d'ailleurs notoire que l'Inde utilise les informations reçues par le biais de l'assistance administrative pour ouvrir des procédures purement pénales. Ainsi selon l'art. 138 de l'Income Tax Act de 1961, de telles informations pourraient être transférées d'office ou sur demande à d'autres autorités administratives. En effet, le CBDT, autorité fiscale indienne en charge de la collecte des impôts, aurait conclu plusieurs protocoles avec d'autres autorités indiennes, dont dix agences non fiscales du gouvernement parmi lesquelles l'Enforcement Directorate, permettant l'échange automatique des informations sans que le contribuable puisse s'opposer à ce partage. Par ailleurs, selon le recourant, l'Inde violerait en outre régulièrement ses engagements internationaux également en matière d'entraide pénale, comme le prouverait le cas extradition d'Abu Salem par le Portugal. Dans cette affaire, l'Inde aurait poursuivi l'intéressé d'infractions passibles de la peine de mort contrairement à sa garantie expresse de ne pas le faire. A l'appui de l'ensemble de ses arguments, le recourant a produit divers articles de presse qui feraient état de problèmes en lien avec le respect du principe de spécialité par l'Inde. Le recourant se plaint également que la réponse du Conseil fédéral du 12 mai 2021, à une interpellation parlementaire du 19 mars 2021, concernant l'examen des demandes d'assistance administrative avec l'Inde, en lien avec le principe de spécialité, ne serait pas satisfaisante. Ainsi au vu de ces éléments, la transmission des informations envisagée par l'AFC concernant le recourant violerait le principe de spécialité.</w:t>
      </w:r>
    </w:p>
    <w:p>
      <w:r>
        <w:rPr>
          <w:b/>
        </w:rPr>
        <w:t>E. 6.8</w:t>
      </w:r>
    </w:p>
    <w:p>
      <w:r>
        <w:t>En l'espèce, conformément à la jurisprudence, les informations dont la transmission est envisagée par l'AFC peuvent également être utilisées dans le cadre d'une procédure pénale fiscale (cf. consid. 6.3 ss). A cet égard, le Tribunal relève que la demande d'assistance précise ce qui suit : He would also be liable for penalty and prosecution under the Black Money (Undisclosed Foreign Income and Assets) and Imposition of Tax Act, 2015 and the Income Tax Act, 1961 for non-disclosure of his beneficial ownership in the foreign bank accounts. La question de savoir si les informations pourront être utilisées dans l'application du Black Money Act - notamment à titre rétroactif - relève de l'application du droit fiscal de l'Etat requérant. En effet, le Tribunal fédéral n'a pas exclu d'emblée la transmission des renseignements à des autorités de lutte contre le blanchiment, sous réserve des conditions exposées ci-dessus (cf. supra consid. 6.5) et il ne revient pas à la Cour de céans de contrôler en détail l'application du droit étranger, en particulier de qualifier la nature exacte des dispositions de cette loi. A cet égard, il apparaît que les termes de l'art. 26 par. 2 CDI CH-IN suivant : « par l'établissement ou le recouvrement des impôts mentionnés au par. 1, par les procédures ou poursuites concernant ces impôts [Strafverfolgerung, perseguimento penale], par les décisions sur les recours relatifs à ces impôts, ou par le contrôle de ce qui précède » semblent indiquer qu'il suffit que les faits qualifiant l'infraction pénale soient en lien avec la soustraction d'impôt sans que ladite infraction ne s'applique nécessairement exclusivement qu'aux infractions pénales fiscales. Enfin, il ressort de la demande d'assistance qu'une éventuelle application du Black Money Act n'est qu'une possibilité parmi d'autres dispositions légales et que ladite demande a été déposée dans un contexte plus large visant à éclaircir le complexe de faits en cause.</w:t>
      </w:r>
    </w:p>
    <w:p>
      <w:r>
        <w:rPr>
          <w:b/>
        </w:rPr>
        <w:t>E. 6.9</w:t>
      </w:r>
    </w:p>
    <w:p>
      <w:r>
        <w:t>Par ailleurs, bien que l'Inde ne soit pas signataire de la CEDH, cette dernière lie les autorités suisses dans le cadre de la procédure d'assistance administrative conduite en suisse (art. 1 CEDH). A cet égard, le Tribunal constate que les droits fondamentaux du recourant, en particulier le droit à un procès équitable (art. 6 CEDH), ont été pleinement respectés durant la procédure conduite devant l'AFC. Pour le surplus, et comme expliqué ci-dessus, il n'appartient pas aux autorités suisses de vérifier que la procédure en Inde se soit déroulée ou se déroulera en conformité avec toutes les dispositions de droit applicables, en particulier en ce qui concerne une application à titre rétroactif du Black Money Act (cf. supra consid. 6.8).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(cf. supra consid. 6.2 ss). En conséquence, tout grief à ce propos doit être invoqué devant les autorités compétentes étrangères.</w:t>
      </w:r>
    </w:p>
    <w:p>
      <w:r>
        <w:rPr>
          <w:b/>
        </w:rPr>
        <w:t>E. 6.10</w:t>
      </w:r>
    </w:p>
    <w:p>
      <w:r>
        <w:t>Pour les mêmes raisons, la question de savoir si l'Inde aurait également violé le principe de spécialité en introduisant des poursuites pénales - notamment à titre rétroactif - à l'encontre du recourant sur la base d'une autre demande d'assistance administrative déposée auprès de l'autorité compétentes de (...) relève de l'application du droit fiscal de l'Etat requérant. Dans la mesure où la présomption de bonne foi de l'autorité requérante n'a pas été renversée in casu, le Tribunal relève encore que même s'il avait la compétence de traiter cette question, il ne saurait en déduire, sur la base des pièces produites par le recourant, que les autorités indiennes violeront le principe de spécialité de manière systématique dans la présente cause. Pour ces motifs, le Tribunal ne retient ainsi pas de violation des droits fondamentaux du recourant dans la procédure par devant l'AFC, ni de violation de l'ordre public.</w:t>
      </w:r>
    </w:p>
    <w:p>
      <w:r>
        <w:rPr>
          <w:b/>
        </w:rPr>
        <w:t>E. 6.11</w:t>
      </w:r>
    </w:p>
    <w:p>
      <w:r>
        <w:t>Le même raisonnement peut être appliqué concernant l'art. 138 de l'Income Tax Act de 1961, selon lequel les informations reçues pourraient être transférées d'office ou sur demande à d'autres autorités administratives, et concernant l'allégation selon laquelle le CBDT, aurait conclu des protocoles avec d'autres autorités indiennes permettant l'échange automatique des informations sans que le contribuable puisse s'opposer à ce partage, puisque le Tribunal n'a pas les connaissances nécessaires pour contrôler en détail l'application du droit étranger.</w:t>
      </w:r>
    </w:p>
    <w:p>
      <w:r>
        <w:rPr>
          <w:b/>
        </w:rPr>
        <w:t>E. 6.12</w:t>
      </w:r>
    </w:p>
    <w:p>
      <w:r>
        <w:t>Par ailleurs, la comparaison invoquée par le recourant, concernant un éventuelle violation du principe de spécialité lors de l'extradition d'Abu Salem, ne présente pas de lien avec la présente cause et ne concerne d'ailleurs pas l'assistance administrative en matière fiscale. Les différents articles de presse produits par le recourant ne présentent pas non plus de lien avec la présente cause. En outre, il apparaît que la réponse donnée par le Conseil fédéral du 12 mai 2021 à l'interpellation parlementaire du 19 mars 2021, concernant l'examen des demandes d'assistance administrative avec l'Inde, en lien avec le principe de spécialité, est conforme à la jurisprudence du Tribunal fédéral. Pour ces raisons et dans la mesure où ces éléments ne sauraient renverser présomption de bonne foi de l'autorité requérante, les griefs du recourant est rejeté sur ce point (cf. supra consid. 4 ss).</w:t>
      </w:r>
    </w:p>
    <w:p>
      <w:r>
        <w:rPr>
          <w:b/>
        </w:rPr>
        <w:t>E. 6.13</w:t>
      </w:r>
    </w:p>
    <w:p>
      <w:r>
        <w:t>Au surplus, le Tribunal constate que l'Inde a expressément déclaré ce qui suit dans sa demande d'assistance administrative : (a) All information received in relation to the request will be kept confidential and used only for the purposes permitted in the agreement which forms the basis for the request. (b)The request is in conformity with Indian laws and administrative practice and is further in conformity with the agreement on the basis of which it is made. Dès lors, au vu de ce qui précède, le Tribunal ne retient pas de violation du principe de spécialité.</w:t>
      </w:r>
    </w:p>
    <w:p>
      <w:r>
        <w:rPr>
          <w:b/>
        </w:rPr>
        <w:t>E. 7</w:t>
      </w:r>
    </w:p>
    <w:p>
      <w:r>
        <w:t>Selon la jurisprudence, la personne concernée dispose également sous l'angle de la protection des données d'un intérêt digne de protection à ce qu'il soit vérifié que la communication de ses données personnelles soit conforme aux règles légales. Elle devrait pouvoir le faire valoir en application de l'art. 25 LPD, dans le cas où la LAAF, en tant que loi spéciale, ne lui conférerait pas un tel droit (ATF 143 II 506 consid. 5.2.2).</w:t>
      </w:r>
    </w:p>
    <w:p>
      <w:r>
        <w:rPr>
          <w:b/>
        </w:rPr>
        <w:t>E. 7.1</w:t>
      </w:r>
    </w:p>
    <w:p>
      <w:r>
        <w:t>En substance, selon l'art. 25 al. 1 LPD, quiconque a un intérêt légitime peut exiger de l'organe fédéral responsable qu'il s'abstienne de procéder à un traitement illicite ; supprime les effets d'un traitement illicite ; et constate le caractère illicite du traitement. Selon l'al. 2 de cette disposition, si ni l'exactitude, ni l'inexactitude d'une donnée personnelle ne peut être prouvée, l'organe fédéral doit ajouter à la donnée la mention de son caractère litigieux.</w:t>
      </w:r>
    </w:p>
    <w:p>
      <w:r>
        <w:rPr>
          <w:b/>
        </w:rPr>
        <w:t>E. 7.2</w:t>
      </w:r>
    </w:p>
    <w:p>
      <w:r>
        <w:t>Ainsi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7.3</w:t>
      </w:r>
    </w:p>
    <w:p>
      <w:r>
        <w:t>Le recourant se plaint que dans la mesure où le niveau de protection des données serait largement insuffisant en Inde, la décision de l'AFC violerait la législation suisse topique ainsi que les droits fondamentaux de l'intéressé.</w:t>
      </w:r>
    </w:p>
    <w:p>
      <w:r>
        <w:rPr>
          <w:b/>
        </w:rPr>
        <w:t>E. 7.4</w:t>
      </w:r>
    </w:p>
    <w:p>
      <w:r>
        <w:t>En l'espèce, comme déjà expliqué ci-dessus (cf. supra consid. 6.12) les allégations et les pièces produites par le recourant, en particulier des articles de journaux concernant le transfert d'informations entre autorités indiennes dans d'autres procédures judiciaires ou administratives, ne présentent pas de lien particulier avec la présente cause. Par ailleurs, le Tribunal n'est lié ni par les conclusions générales des rapports du Préposé fédéral en matière de protection des données ni par les circulaires du gouvernement indien.</w:t>
      </w:r>
    </w:p>
    <w:p>
      <w:r>
        <w:rPr>
          <w:b/>
        </w:rPr>
        <w:t>E. 7.5</w:t>
      </w:r>
    </w:p>
    <w:p>
      <w:r>
        <w:t>Ainsi au vu de la présomption de bonne foi de l'autorité requérante et de ses garanties expresses (cf. supra consid. 6.13) et dans la mesure où la procédure devant l'AFC s'est déroulée conformément au droit, le Tribunal ne retient pas que la protection des données en Inde constitue un motif du refus de transfert des informations.</w:t>
      </w:r>
    </w:p>
    <w:p>
      <w:r>
        <w:rPr>
          <w:b/>
        </w:rPr>
        <w:t>E. 7.6</w:t>
      </w:r>
    </w:p>
    <w:p>
      <w:r>
        <w:t>Au surplus, et comme expliqué ci-dessus (cf. supra consid. 6.9), le traitement des données dans le cadre de la procédure en Inde n'est pas de la compétence des autorités suisse. Il n'appartient en effet pas aux dites autorités de vérifier que la procédure en Inde se soit déroulée en conformité avec toutes les dispositions de droit applicables.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En conséquence, tout grief à ce propos doit être invoqué devant les autorités compétentes étrangères. Ainsi, pour ces raisons, le Tribunal ne retient pas de violation subséquente des droits fondamentaux du recourant en relation avec le niveau de protection des données en Inde.</w:t>
      </w:r>
    </w:p>
    <w:p>
      <w:r>
        <w:rPr>
          <w:b/>
        </w:rPr>
        <w:t>E. 8</w:t>
      </w:r>
    </w:p>
    <w:p>
      <w:r>
        <w:t>Selon le recourant, les informations permettant de le reconnaître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9</w:t>
      </w:r>
    </w:p>
    <w:p>
      <w:r>
        <w:t>Enfin et à titre subsidiaire, le recourant demande que l'AFC requiert une garantie expresse de l'Inde de n'utiliser les données transmises qu'aux fins de sa législation fiscale interne à l'exclusion de poursuites aux fins pénales, en particulier le Black Money Act.</w:t>
      </w:r>
    </w:p>
    <w:p>
      <w:r>
        <w:rPr>
          <w:b/>
        </w:rPr>
        <w:t>E. 9.1</w:t>
      </w:r>
    </w:p>
    <w:p>
      <w:r>
        <w:t>En l'espèce, compte tenu de l'ensemble des motifs qui viennent d'être exposés, le Tribunal retient qu'il n'y a pas de raisons de requérir une telle garantie expresse de la part de l'Inde. Au surplus, selon le chiffre 3 du dispositif de la décision de l'AFC du 8 décembre 2020 : [L'AFC décide] d'informer les autorités compétentes indiennes que les renseignements cités au chiffre 2 ne peuvent être utilisés que dans le cadre de la procédure relative à Monsieur A._______, pour l'état de fait décrit dans la demande d'assistance administrative du (...), et qu'ils sont soumis aux restrictions d'utilisation et aux obligations de confidentialité prévues par la Convention (art. 26 par. 2 CDI CH-IN). A cet égard, le Tribunal constate que la décision est conforme à la jurisprudence du Tribunal fédéral du 13 juillet 2020 (cf. ATF 147 II 13 consid. 3.5 ; arrêt du TF 2C_545/2019 consid. 4.7 ; arrêt du TAF A-3035/2020 du 17 mars 2021 consid. 7.4.3). Ainsi, les griefs du recourant doivent être rejeté sur ce point.</w:t>
      </w:r>
    </w:p>
    <w:p>
      <w:r>
        <w:rPr>
          <w:b/>
        </w:rPr>
        <w:t>E. 10</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11</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