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A-3048/2020 vom 29. März 2021</w:t>
      </w:r>
    </w:p>
    <w:p>
      <w:r>
        <w:t>Bundesverwaltungsgericht, 2021-03-29, FR</w:t>
      </w:r>
    </w:p>
    <w:p>
      <w:r>
        <w:rPr>
          <w:b/>
        </w:rPr>
        <w:t xml:space="preserve">Quelle: </w:t>
      </w:r>
      <w:r>
        <w:t>https://mcp.opencaselaw.ch/entscheid/bvger_A-3048_2020</w:t>
      </w:r>
    </w:p>
    <w:p>
      <w:r>
        <w:t>FR: TAF A-3048/2020 du 29 mars 2021</w:t>
      </w:r>
    </w:p>
    <w:p>
      <w:r>
        <w:t>IT: TAF A-3048/2020 del 29 marzo 2021</w:t>
      </w:r>
    </w:p>
    <w:p>
      <w:pPr>
        <w:pStyle w:val="Heading2"/>
      </w:pPr>
      <w:r>
        <w:t>Regeste</w:t>
      </w:r>
    </w:p>
    <w:p>
      <w:r>
        <w:t>Assistance administrative</w:t>
      </w:r>
    </w:p>
    <w:p>
      <w:pPr>
        <w:pStyle w:val="Heading2"/>
      </w:pPr>
      <w:r>
        <w:t>Erwägungen</w:t>
      </w:r>
    </w:p>
    <w:p>
      <w:r>
        <w:rPr>
          <w:b/>
        </w:rPr>
        <w:t>E. 5.1.1</w:t>
      </w:r>
    </w:p>
    <w:p>
      <w:r>
        <w:t>Pour ce qui est des conditions de fond, la recourante argue en premier lieu que les principes de la pertinence vraisemblable et de l'interdiction de la pêche aux renseignements seraient violés. A l'appui de son grief, elle avance que la loi française n° 2018-998 du 23 octobre 2018 aurait instauré l'automaticité des dépôts de plaintes devant le procureur de la république par les fonctionnaires fiscaux recevant les renseignements par la voie de l'assistance fiscale internationale. Elle en conclut que le risque qu'elle encourt en cas de transmission des informations serait disproportionné par rapport à l'intérêt de l'Etat français à les obtenir, de sorte que les renseignements demandés ne seraient vraisemblablement pas pertinents et que leur transmission violerait le principe de la proportionnalité. La recourante allègue également que la demande constituerait une pêche aux renseignements proscrite dès lors que les listes B et C - sur lesquelles se fondent la demande de l'autorité française - datent de 2006 et 2008, soit plusieurs années avant le début de la période pour laquelle les renseignements sont demandés. Selon elle, il ne serait pas possible de conclure que ces données sont actuelles, de sorte que leur utilisation, sans autre indice, constituerait une fishing expedition. Finalement, la recourante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déduire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l'avancent la recourante - que ces données ne seraient pas actuelles, de sorte que leur utilisation, sans autre indice, constituerait une pêche aux renseignements interdite. Pour ce qui est de la violation alléguée par la recourante du principe de proportionnalité, il n'apparaît pas que le risque encouru par la recourante en cas de transmission des informations soit disproportionné par rapport à l'intérêt qu'à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la recourante doit être rejeté.</w:t>
      </w:r>
    </w:p>
    <w:p>
      <w:r>
        <w:rPr>
          <w:b/>
        </w:rPr>
        <w:t>E. 5.2.1</w:t>
      </w:r>
    </w:p>
    <w:p>
      <w:r>
        <w:t>Au moyen d'un deuxième grief, la recourante reproche à l'autorité inférieure d'accéder à une demande d'assistance basée sur des données volées, en violation du principe de la bonne foi et de l'art. 7 let.c LAAF. Cette question juridique n'ayant pas été traitée dans l'ATF 146 II 150, il convient par conséquent de l'examiner plus en détail dans la présente cause. A l'appui de son grief, la recourante avance que les données sur lesquelles se base la présente demande auraient été acquises grâce à un acte punissable au regard du droit suisse, à savoir l'achat illégal par le Land allemand de Rhénanie du Nord-Westphalie d'un CD de données. Selon elle, il existerait un lien de causalité entre cet acte punissable et l'obtention par la France des données sur lesquelles serait fondée la demande litigieuse dès lors que, sans l'achat dudit CD, aucune perquisition n'aurait eu lieu et les données fondant la requête du 11 mai 2016 n'auraient pas été découvertes. De surcroît, la recourante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5.2.3.3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w:t>
      </w:r>
    </w:p>
    <w:p>
      <w:r>
        <w:rPr>
          <w:b/>
        </w:rPr>
        <w:t>E. 5.2.3.2</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en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la recourante n'invoque au demeurant pas. Partant, le grief de la recourante doit être rejeté.</w:t>
      </w:r>
    </w:p>
    <w:p>
      <w:r>
        <w:rPr>
          <w:b/>
        </w:rPr>
        <w:t>E. 5.2.3.3</w:t>
      </w:r>
    </w:p>
    <w:p>
      <w:r>
        <w:t>Au surplus, force est de constater que l'autorité requérante ne peut être considérée comme ayant acheté des données acquises illégalement au regard du droit suisse pour fonder sa demande (cf. consid. 5.2.3 supra), ce que la recourante n'invoque au demeurant pas. Partant, le grief de la recourante doit être rejeté.</w:t>
      </w:r>
    </w:p>
    <w:p>
      <w:r>
        <w:rPr>
          <w:b/>
        </w:rPr>
        <w:t>E. 5.3.1</w:t>
      </w:r>
    </w:p>
    <w:p>
      <w:r>
        <w:t>Dans un troisième grief, la recourante avance que le principe de spécialité ne serait pas respecté dans le cas d'espèce. A l'appui de son grief, elle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La recourante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5.4.1</w:t>
      </w:r>
    </w:p>
    <w:p>
      <w:r>
        <w:t>En dernier lieu, il sied encore d'examiner la conclusion de la recourante tendant au constat de la nullité de la décision attaquée au motif que son droit d'être entendu aurait été violé dès lors qu'elle n'aurait pas eu accès à toutes les pièces sur lesquelles l'AFC se serait fondée pour rendre la décision du 12 mai 2020. La recourante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elle,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En l'espèce, la recourante invoque une violation de son droit d'être entendu au motif qu'elle n'aurait pas eu accès à toutes les pièces sur lesquelles l'AFC se serait fondée pour rendre la décision du 12 mai 2020. Selon elle, la consultation des pièces dont elle requiert la consultation (cf. consid. 5.4.1 supra) serait essentielle afin de démontrer que la présente requête se fonde sur des données volées, dès lors que l'autorité inférieure se serait basée sur ces pièces pour considérer qu'il n'existait pas de lien de causalité entre le CD acheté illégalement par les autorités allemandes et les données sur lesquelles se fondent la présente demande. Or, comme mentionné supra (cf. consid. 5.2.3.2 ci-dessus), l'examen de l'existence d'un lien de causalité entre les données prétendument volées et la demande litigieuse n'est pas déterminant dans le cas d'espèce pour considérer que la présente requête ne se fonde pas sur des données volées. En effet, il est admis en l'espèce que l'autorité requérante française n'a pas donné d'assurance en lien avec les données qu'elle a obtenues de la part de l'Allemagne. Partant, le contenu exact des pièces dont la consultation est requise n'a aucune incidence sur l'évaluation des conditions matérielles de la requête, de sorte que la Cour de céans ne saurait retenir qu'elles ont été utilisées au détriment de la recourante.</w:t>
      </w:r>
    </w:p>
    <w:p>
      <w:r>
        <w:rPr>
          <w:b/>
        </w:rPr>
        <w:t>E. 5.4.4</w:t>
      </w:r>
    </w:p>
    <w:p>
      <w:r>
        <w:t>De surcroît, il est relevé que leur contenu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Son droit d'être entendu ne saurait en effet être compris comme aussi absolu, en particulier après une pesée des intérêts en présence. Dans ces circonstances, le Tribunal de céans ne saurait considérer que le droit d'être entendu de la recourante a été violé, de sorte que la nullité de la décision attaquée n'est pas constatée.</w:t>
      </w:r>
    </w:p>
    <w:p>
      <w:r>
        <w:rPr>
          <w:b/>
        </w:rPr>
        <w:t>E. 6</w:t>
      </w:r>
    </w:p>
    <w:p>
      <w:r>
        <w:t>La recournante sollicite (ci-avant, Faits, let. I), la suspension de la procédure jusqu'à l'obtention d'une décision définitive dans tout autre recours déposé par la banque UBS ayant trait à la demande d'assistance administrative française ici en cause et jusqu'à l'obtention d'un jugement définitif dans toute procédure pénale ayant trait au complexe de faits de dite demande.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de la recourante tendant à la suspension de la procédure jusqu'à l'obtention d'une décision définitive dans tout autre recours déposé par la banque UBS ayant trait à la présente demande d'assistance administrative et jusqu'à l'obtention d'un jugement définitif dans toute procédure pénale ayant trait au complexe de faits de la présente demande (ci-avant, Faits, let. I) paraissent ne plus avoir d'objet. En effet, l'ensemble des éléments invoqués pour justifier la suspension de la procédure se sont produits et les arrêts sont désormais définitifs. Il y a ainsi lieu de rejeter les requêtes de suspension, dans la mesure où elles ont encore un objet.</w:t>
      </w:r>
    </w:p>
    <w:p>
      <w:r>
        <w:rPr>
          <w:b/>
        </w:rPr>
        <w:t>E. 7.1</w:t>
      </w:r>
    </w:p>
    <w:p>
      <w:r>
        <w:t>Vu les considérants qui précèdent, le recours est rejeté. La recourante, qui succombe,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