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A-3042/2020 vom 27. Oktober 2021</w:t>
      </w:r>
    </w:p>
    <w:p>
      <w:r>
        <w:t>Bundesverwaltungsgericht, 2021-10-27, FR</w:t>
      </w:r>
    </w:p>
    <w:p>
      <w:r>
        <w:rPr>
          <w:b/>
        </w:rPr>
        <w:t xml:space="preserve">Quelle: </w:t>
      </w:r>
      <w:r>
        <w:t>https://mcp.opencaselaw.ch/entscheid/bvger_A-3042_2020</w:t>
      </w:r>
    </w:p>
    <w:p>
      <w:r>
        <w:t>FR: TAF A-3042/2020 du 27 octobre 2021</w:t>
      </w:r>
    </w:p>
    <w:p>
      <w:r>
        <w:t>IT: TAF A-3042/2020 del 27 ottobre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principes de la pertinence vraisemblable et de l'interdiction de la pêche aux renseignements seraient violés. A l'appui de son grief, il avance que la loi française n° 2018-998 du 23 octobre 2018 aurait instauré l'automaticité des dépôts de plaintes devant le procureur de la république par les fonctionnaires fiscaux recevant les renseignements par la voie de l'assistance fiscale internationale. Il en conclut que le risque qu'il encourt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 recourant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lui, il ne serait pas possible de conclure que ces données sont actuelles, de sorte que leur utilisation, sans autre indice, constituerait une fishing expedition. Finalement, le recourant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le recourant du principe de proportionnalité, il n'apparaît pas que le risque encouru par le recourant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Dans un troisième grief, le recourant avance que le principe de spécialité ne serait pas respecté dans le cas d'espèce. A l'appui de son grief, il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 recourant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et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ATF 147 II 13 consid. 3.7 ; arrêt du TF 2C_545/2019 du 13 juillet 2020 consid. 4 ; arrêt du TAF A-5522/2019 précité consid. 3.4.3).</w:t>
      </w:r>
    </w:p>
    <w:p>
      <w:r>
        <w:rPr>
          <w:b/>
        </w:rPr>
        <w:t>E. 5.4.1</w:t>
      </w:r>
    </w:p>
    <w:p>
      <w:r>
        <w:t>En dernier lieu, il sied encore d'examiner la conclusion du recourant tendant au constat de la nullité de la décision attaquée au motif que son droit d'être entendu aurait été violé dès lors qu'il n'aurait pas eu accès à toutes les pièces sur lesquelles l'AFC se serait fondée pour rendre la décision du 12 mai 2020. Le recourant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lui,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 recourant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de céans ne saurait considérer que le droit d'être entendu du recourant a été violé, de sorte que la nullité de la décision attaquée n'est pas constatée.</w:t>
      </w:r>
    </w:p>
    <w:p>
      <w:r>
        <w:rPr>
          <w:b/>
        </w:rPr>
        <w:t>E. 6</w:t>
      </w:r>
    </w:p>
    <w:p>
      <w:r>
        <w:t>Le recourant sollicite (ci-avant, Faits, let. I), la suspension de la procédure jusqu'à l'obtention d'une décision définitive dans tout autre recours déposé par la banque UBS ayant trait à la demande d'assistance administrative française ici en cause et jusqu'à l'obtention d'un jugement définitif dans toute procédure pénale ayant trait au complexe de faits de dite demande.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5.2.3), force est de constater que ces requêtes de suspension doivent être rejetées, pour autant qu'elles ne soient pas devenues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du recourant tendant à la suspension de la procédure jusqu'à l'obtention d'une décision définitive dans tout autre recours déposé par la banque UBS ayant trait à la présente demande d'assistance administrative et jusqu'à l'obtention d'un jugement définitif dans toute procédure pénale ayant trait au complexe de faits de la présente demande (ci-avant, Faits, let. I) paraissent ne plus avoir d'objet. En effet, l'ensemble des éléments invoqués pour justifier la suspension de la procédure se sont produits et les arrêts sont désormais définitifs. Il y a ainsi lieu de rejeter les requêtes de suspension, dans la mesure où elles ont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