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A-3035/2008 vom 20. Juni 2008</w:t>
      </w:r>
    </w:p>
    <w:p>
      <w:r>
        <w:t>Bundesverwaltungsgericht, 2008-06-20, DE</w:t>
      </w:r>
    </w:p>
    <w:p>
      <w:r>
        <w:rPr>
          <w:b/>
        </w:rPr>
        <w:t xml:space="preserve">Quelle: </w:t>
      </w:r>
      <w:r>
        <w:t>https://mcp.opencaselaw.ch/entscheid/bvger_A-3035_2008</w:t>
      </w:r>
    </w:p>
    <w:p>
      <w:r>
        <w:t>FR: TAF A-3035/2008 du 20 juin 2008</w:t>
      </w:r>
    </w:p>
    <w:p>
      <w:r>
        <w:t>IT: TAF A-3035/2008 del 20 giugno 2008</w:t>
      </w:r>
    </w:p>
    <w:p>
      <w:pPr>
        <w:pStyle w:val="Heading2"/>
      </w:pPr>
      <w:r>
        <w:t>Regeste</w:t>
      </w:r>
    </w:p>
    <w:p>
      <w:r>
        <w:t>Zölle</w:t>
      </w:r>
    </w:p>
    <w:p>
      <w:pPr>
        <w:pStyle w:val="Heading2"/>
      </w:pPr>
      <w:r>
        <w:t>Erwägungen</w:t>
      </w:r>
    </w:p>
    <w:p>
      <w:r>
        <w:rPr>
          <w:b/>
        </w:rPr>
        <w:t>E. 1.1</w:t>
      </w:r>
    </w:p>
    <w:p>
      <w:r>
        <w:t>Beschwerdeentscheide der OZD unterliegen der Beschwerde an das Bundesverwaltungsgericht (Art. 109 Abs. 1 Bst. c aZG in Verbindung mit Art. 33 Bst. d VGG). Dieses ist somit zur Behandlung der Beschwerde sachlich wie funktionell zuständig. Daran ändert auch das am 1. Mai 2007 in Kraft getretene neue Zollgesetz vom 18. März 2005 (ZG, SR 631.0) nichts, werden doch nach Art. 132 Abs. 1 ZG alle Zollveranlagungsverfahren, die bei Inkrafttreten dieses Gesetzes hängig sind, nach dem bisherigen Recht abgeschlossen. Auf dieses Verfahren findet deshalb das alte Zollgesetz (aZG) Anwendung.</w:t>
      </w:r>
    </w:p>
    <w:p>
      <w:r>
        <w:rPr>
          <w:b/>
        </w:rPr>
        <w:t>E. 1.2</w:t>
      </w:r>
    </w:p>
    <w:p>
      <w:r>
        <w:t>Das Bundesverwaltungsgericht erwägt im Folgenden lediglich den Umfang der Leistungspflicht des Beschwerdeführers, da nur die Rückweisung zu deren Berechnung im Verfahren A-1746/2006 durch die OZD mit Erfolg beim Bundesgericht angefochten worden ist sowie die in diesem Entscheid offen gelassenen Fragen. Da der Sachverhalt aktenmässig erstellt ist und sich die Parteien im Laufe des Verfahrens zu den relevanten Fragen bereits mehrfach äussern konnten, erübrigt sich die Anordnung weiterer Schriftenwechsel.</w:t>
      </w:r>
    </w:p>
    <w:p>
      <w:r>
        <w:rPr>
          <w:b/>
        </w:rPr>
        <w:t>E. 2.1</w:t>
      </w:r>
    </w:p>
    <w:p>
      <w:r>
        <w:t>Das Zollverfahren ist vom Selbstdeklarationsprinzip bestimmt (Art. 24 aZG). Dem Zollpflichtigen obliegt die Verantwortlichkeit für die rechtmässige und richtige Deklaration seiner grenzüberschreitenden Warenbewegungen. Er ist verpflichtet, den vorschriftsgemässen Abfertigungsantrag zu stellen. Damit überbindet das Zollgesetz dem Zollmeldepflichtigen die volle Verantwortung für den eingereichten Abfertigungsantrag und stellt hohe Anforderungen an seine Sorgfaltspflicht; namentlich wird von ihm eine vollständige und richtige Deklaration der Ware verlangt (vgl. Urteil des Bundesgerichts vom 7. Februar 2001, veröffentlicht in Archiv für Schweizerisches Abgaberecht [ASA] 70 S. 334 E. 2c mit Hinweisen; Entscheid der ZRK vom 18. November 2003 [ZRK 2003-027], E. 3a, bestätigt im Urteil des Bundesgerichts 2A.1/2004 vom 31. März 2004 E. 2.1; Entscheid der ZRK vom 2. Oktober 1995, veröffentlicht in ASA 65 S. 410 ff. E. 3a und 3b/bb mit Hinweisen; Entscheid der ZRK vom 15. November 2005 [ZRK 2003-165] E. 2a). Als Grundlage der Zollberechnung dient die tarifmässige Deklaration des Zollpflichtigen, soweit sie nicht durch die amtliche Revision berichtigt wird (Art. 24 Abs. 1 aZG). Der Zollmeldepflichtige hat den Abfertigungsantrag zu stellen und die Zolldeklaration einzureichen (Art. 31 Abs. 1 aZG); das zuständige Zollamt überprüft die abgegebene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vgl. Entscheid der ZRK vom 18. November 2003, a.a.O., E. 3a, bestätigt mit Urteil des Bundesgerichts vom 31. März 2004, a.a.O., E. 2.2; Entscheid der ZRK vom 28. Oktober 2003, veröffentlicht in Verwaltungspraxis der Bundesbehörden [VPB] 68.51 E. 3b). Sie darf nur ersetzt, ergänzt, berichtigt oder vernichtet werden, wenn vor Anordnung der Revision und vor Ausstellung der Zollausweise darum nachgesucht wird. Ist der Zollausweis ausgestellt, so kann das Zollamt dem Gesuch um Zollbegünstigung, Zollbefreiung oder Änderung der Abfertigungsart entsprechen, wenn die Sendung noch unter zoll-, post- oder bahnamtlicher Kontrolle steht (Art. 49 Abs. 2 aZV; Entscheid der ZRK vom 13. Februar 2002, veröffentlicht in VPB 66.56 E. 2a; Entscheid der ZRK vom 28. Oktober 2003, a.a.O., E. 3b). Die nach Art. 35 aZG angenommene Zolldeklaration ist unter Vorbehalt einer Revision nach Art. 36 aZG auch für die Zollbehörde verbindlich.</w:t>
      </w:r>
    </w:p>
    <w:p>
      <w:r>
        <w:rPr>
          <w:b/>
        </w:rPr>
        <w:t>E. 2.2</w:t>
      </w:r>
    </w:p>
    <w:p>
      <w:r>
        <w:t>Nach Art. 13 Abs. 1 der Verordnung vom 17. Mai 1995 über die Einfuhr von Gemüse, frischem Obst und Schnittblumen (VEGOS, AS 1995 2017) können frische Schnittblumen zwischen dem 1. Mai und dem 25. Oktober nur im Rahmen von Zollkontingenten zum KZA eingeführt werden. Die Zuteilung der Zollkontingente erfolgt gemäss den Kriterien 70% nach Massgabe der Gesamteinfuhren im vorangegangenen Jahr und 30% nach der erbrachten Inlandleistung. Je nach Marktbedarf und Inlandangebot können über das Zollkontingent hinaus zeitlich befristete Zusatzkontingente zur Einfuhr zum KZA zugelassen werden (Art. 13 Abs. 6 VEGOS). Das (damalige) Bundesamt für Aussenwirtschaft (BAWI) teilt den Inhabern von Generaleinfuhrbewilligungen die Anteile des Zollkontingents für Schnittblumen nach Massgabe der Einfuhren im Vorjahr und nach Massgabe der Inlandleistung des Vorjahres zu (Art. 15 Bst. b VEGOS) und gibt die Zusatzkontingente frei. Die zusätzlichen Mengen werden nach Massgabe der Inlandleistung verteilt. Das BAWI legt Verteilschlüssel für die Zusatzkontingente fest (Art. 13 Abs. 7 VEGOS), wobei einem Franken Inlandleistung eine gewisse Menge Importware entspricht (z.B. ergeben bei einem Verhältnis von 2 : 1 Fr. 100.- Inlandleistung ein Zusatzkontingent von 50 kg Import; vgl. auch act. 4/54/2 und act. 4/55/2).</w:t>
      </w:r>
    </w:p>
    <w:p>
      <w:r>
        <w:rPr>
          <w:b/>
        </w:rPr>
        <w:t>E. 3.1</w:t>
      </w:r>
    </w:p>
    <w:p>
      <w:r>
        <w:t>Die Untersuchungen der Zollverwaltung haben ergeben - und der Beschwerdeführer bestätigte dies -, dass er der C._______GmbH fiktive Rechnungen hat ausstellen lassen, damit diese Inlandleistungen ausweisen und folglich Zusatzkontingente für den Import von Schnittblumen erwirken konnte. Insbesondere handelte es sich um die Rechnungen vom 23. August 1996 über Fr. 1'382.30, vom 6., 13. und 23. September 1996 über Fr. 1'259.70, Fr. 1'433.10 und Fr. 930.-- sowie vom 18. Oktober 1996 über Fr. 930.-- (vgl. act. 4.54/1 ff.). Im Jahr 1997 hat der Beschwerdeführer die folgenden fiktiven Rechnungen für die C._______GmbH ausstellen lassen: am 2., 12., 19., 20. und 26. Mai über Fr. 800.--, Fr. 900.--, Fr. 370.--, Fr. 1'950.-- und Fr. 2'244.--, und am 2., 9., 10., 16., 24. und 30. Juni 1997 solche über Fr. 4'050.--, Fr. 3'950.--, Fr. 1'800.--, Fr. 2'000.--, Fr. 920.-- und Fr. 2'460.-- (vgl. act. 4/55.1 ff.). Der Umfang des durch fiktive Inlandleistung erwirkten Zusatzkontingents für die C._______GmbH betrug 18'451 kg, wovon dem Beschwerdeführer allerdings lediglich tatsächlich 8'504 kg im Zeitraum vom 3. September 1996 bis 24. Juni 1997 importierte Schnittblumen (1'720 kg Rosen, 156 kg Nelken und 6'628 kg andere Schnittblumen) angerechnet wurden (vgl. Anhänge 1-3 zur Verfügung über die Leistungspflicht, act. 4/Band 6/12 mit Verweis auf die Zollquittungen), die die C._______GmbH richtigerweise zum AKZA statt zum KZA hätte verzollen müssen. Dabei ist die OZD zu Gunsten des Beschwerdeführers davon ausgegangen, dass die erschlichenen Zusatzkontingente für diejenigen Blumensorten mit den niedrigsten AKZA verwendet worden sind und belastete ihm dafür die Differenz zwischen dem bezahlten KZA und dem korrekterweise zu zahlenden AKZA im Umfang von Fr. 202'488.--. Die Differenz ergab sich aus den Mengen und den unterschiedlichen Tarifnummern importierter Schnittblumen, nämlich für Rosen 0603.1041 KZA Fr. 12.50 je 100 kg und 0603.1049 AKZA Fr. 3'500.-- je 100 kg, für Nelken 0603.1031 KZA Fr. 25.-- je 100 kg und 0603.1039 AKZA Fr. 1'200.-- je 100 kg und für andere Blumen 0603.1059 KZA Fr. 25.-- je 100 kg und 0603.1069 AKZA Fr. 2'200.-- je 100 kg (vgl. Entscheid der OZD vom 11. Mai 2006, Ziff. 8 mit Tabellen 1 und 2, Beilage 2 der Beschwerde vom 12. Juni 2006). Entgegen der Auffassung des Beschwerdeführers ohne Einfluss auf die vorliegend allein massgeblichen Fragen bleibt, ob in den damaligen Rechnungsbeträgen die Mehrwertsteuer enthalten ist oder nicht. Weder an der Berechnung der Menge der erschlichenen und durch Importe ausgenützen Zusatzkontingente noch an der Berechnung der daraus entstehenden Leistungspflicht (Differenzzoll) des Beschwerdeführers ist etwas auszusetzen, sodass die Beschwerde in diesem Punkt abzuweisen ist.</w:t>
      </w:r>
    </w:p>
    <w:p>
      <w:r>
        <w:rPr>
          <w:b/>
        </w:rPr>
        <w:t>E. 3.2</w:t>
      </w:r>
    </w:p>
    <w:p>
      <w:r>
        <w:t>Im Weiteren erweist sich auch der Sistierungsantrag des Beschwerdeführers als unbegründet, da, wie im Urteil des Bundesverwaltungsgerichts A-1746/2006 vom 12. Juni 2007 in Erwägung 4.1 ausgeführt wurde, das rechtliche Gehör des Beschwerdeführers nicht verletzt worden ist. Ein Anspruch, gleichsam als Mitbeteiligter am gegen die B._______ geführten Verfahren teilzunehmen, besteht entgegen der Auffassung des Beschwerdeführers nicht. Ebenso nicht stichhaltig sind seine übrigen Einwendungen, dass er das Schlussprotokoll nicht unterschrieben habe und auch die fraglichen Rechnungen von ihm nicht unterzeichnet worden seien. Das Schlussprotokoll wurde ihm ausgehändigt und somit rechtsgenügend eröffnet. Dessen Nichtunterzeichnung hat auf das vorliegende Beweisergebnis keinen Einfluss. Auch aus der Behauptung, er habe die fraglichen Rechnungen nicht unterzeichnet, kann er nichts zu seinen Gunsten ableiten. Gemäss Einvernahme-Protokoll vom 16. Juli 1997 sagte er aus, dass er B._______ der Einfachheit halber erlaubt habe, die Rechnungen im Namen der E._______ zu erstellen. Diese Aussage bestätigte er auch in der Fortsetzung der Einvernahme vom 8. Dezember 1998. Es lag somit (zumindest) sein Einverständnis für die betreffende Rechnungsstellung vor. Damit ist die Beschwerde des A._______ insgesamt als unbegründet abzuweisen.</w:t>
      </w:r>
    </w:p>
    <w:p>
      <w:r>
        <w:rPr>
          <w:b/>
        </w:rPr>
        <w:t>E. 4</w:t>
      </w:r>
    </w:p>
    <w:p>
      <w:r>
        <w:t>Bei diesem Ausgang des Verfahrens hat der Beschwerdeführer gemäss Art. 63 Abs. 1 VwVG die Verfahrenskosten (für dieses und das Verfahren A-1746/2006) zu tragen. Sie werden gemäss Art. 4 des Reglements vom 21. Februar 2008 über die Kosten und Entschädigungen vor dem Bundesverwaltungsgericht (VGKE, SR 173.320.2) festgesetzt und mit dem im Verfahren A-1746/2006 geleisteten Kostenvorschuss von Fr. 1'000.-- verrechnet. Eine Parteientschädigung an den Beschwerdeführer ist nicht zuzusprechen (Art. 64 Abs. 1 VwVG und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