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A-3014/2010 vom 31. Januar 2011</w:t>
      </w:r>
    </w:p>
    <w:p>
      <w:r>
        <w:t>Bundesverwaltungsgericht, 2011-01-31, DE</w:t>
      </w:r>
    </w:p>
    <w:p>
      <w:r>
        <w:rPr>
          <w:b/>
        </w:rPr>
        <w:t xml:space="preserve">Quelle: </w:t>
      </w:r>
      <w:r>
        <w:t>https://mcp.opencaselaw.ch/entscheid/bvger_A-3014_2010</w:t>
      </w:r>
    </w:p>
    <w:p>
      <w:r>
        <w:t>FR: TAF A-3014/2010 du 31 janvier 2011</w:t>
      </w:r>
    </w:p>
    <w:p>
      <w:r>
        <w:t>IT: TAF A-3014/2010 del 31 gennaio 2011</w:t>
      </w:r>
    </w:p>
    <w:p>
      <w:pPr>
        <w:pStyle w:val="Heading2"/>
      </w:pPr>
      <w:r>
        <w:t>Regeste</w:t>
      </w:r>
    </w:p>
    <w:p>
      <w:r>
        <w:t>Elektrische Anlagen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anfechtbaren Verfügungen ge­hören jene des BFE in Plangenehmigungsverfahren nach Art. 16h Abs. 2 des Bun­desgesetzes betreffend die elektrische Schwach- und Starkstromanla­gen vom 24. Juni 1902 (Elektrizitätsge­setz, EleG, SR 734.0). Das Bundesverwaltungsgericht ist somit zur Beurteilung der vorliegenden Beschwerde zuständig (Art. 23 EleG). Das Ver­fahren richtet sich ge­mäss Art. 37 VGG nach dem VwVG, so­weit das VGG nichts anderes bestimmt.</w:t>
      </w:r>
    </w:p>
    <w:p>
      <w:r>
        <w:rPr>
          <w:b/>
        </w:rPr>
        <w:t>E. 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zweite Instanz nicht beurteilen; sonst würde in die funktionelle Zuständigkeit der ersten Instanz eingegriffen (ANDRÉ MOSER/MICHAEL BEUSCH/LORENZ KNEUBÜHLER, Prozessieren vor dem Bundesverwaltungsgericht, Basel 2008, Rz. 2.8 mit Hinweisen).</w:t>
      </w:r>
    </w:p>
    <w:p>
      <w:r>
        <w:rPr>
          <w:b/>
        </w:rPr>
        <w:t>E. 2.1</w:t>
      </w:r>
    </w:p>
    <w:p>
      <w:r>
        <w:t>Der Beschwerdeführer bringt vor, das aufgelegte Bauvorhaben umfasse neben dem Neubau einer Schaltstation noch eine etwa vier­mal grössere Messstation, was aus der Planauflage nicht hervorgehe. Es sei nicht statthaft, wenn erst aus den Bauplänen das gesamte Bau­vorhaben ersichtlich werde, jedoch nicht aus der Planauflage. Indem diese nur eine Schaltstation nenne, obschon eine Messsta­tion errichtet werden solle, verletze sie die gesetzlichen Vor­gaben.</w:t>
      </w:r>
    </w:p>
    <w:p>
      <w:r>
        <w:rPr>
          <w:b/>
        </w:rPr>
        <w:t>E. 2.2</w:t>
      </w:r>
    </w:p>
    <w:p>
      <w:r>
        <w:t>Die Vorinstanz hält dem entgegen, Gegenstand des Plangenehmi­gungsgesuchs bilde der Neubau einer Schaltstation (...) mit Gebäude. Im dazugehörigen Gebäude solle zwar in einem späteren Zeitpunkt auch eine Messstation der C._______ unterge­bracht wer­den. Für die Messstation werde die C._______ zu gegebener Zeit beim Eidgenössischen Starkstrominspektorat (ESTI) ein separates Plangenehmi­gungsgesuch einreichen.</w:t>
      </w:r>
    </w:p>
    <w:p>
      <w:r>
        <w:rPr>
          <w:b/>
        </w:rPr>
        <w:t>E. 2.3</w:t>
      </w:r>
    </w:p>
    <w:p>
      <w:r>
        <w:t>Entgegen der Ansicht des Beschwerdeführers ist die Messstation nicht Gegenstand des vorliegenden Plangenehmigungsverfahrens. Die Ausschreibung und die öffentliche Auflage der Schaltstation (...) sind somit korrekt erfolgt. Der Beschwerdeführer wird unter Vorbehalt der nachfolgenden Ausführungen zur Legitimation die Möglichkeit haben, im später erfolgenden separaten Plangenehmigungsverfahren zur Messstation Einwendungen vorzubringen. Vorliegend aber ist die Beschwerde unzulässig, soweit sie sich gegen die Messstation richtet.</w:t>
      </w:r>
    </w:p>
    <w:p>
      <w:r>
        <w:rPr>
          <w:b/>
        </w:rPr>
        <w:t>E. 3</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3.1</w:t>
      </w:r>
    </w:p>
    <w:p>
      <w:r>
        <w:t>Der Beschwerdeführer hat als Einsprecher am vorinstanzlichen Verfahren teilgenommen, womit die Voraussetzung nach Art. 48 Abs. 1 Bst. a VwVG für die Legitimation zur Beschwerdeerhebung gegeben ist.</w:t>
      </w:r>
    </w:p>
    <w:p>
      <w:r>
        <w:rPr>
          <w:b/>
        </w:rPr>
        <w:t>E. 3.2</w:t>
      </w:r>
    </w:p>
    <w:p>
      <w:r>
        <w:t>Weiter sind ein besonderes Berührtsein durch das Projekt (Bst. b) und ein schutzwürdiges Interesse an dessen Aufhebung oder Änderung (Bst. c) erfor­derlich. Als schutzwürdig gelten dabei rechtliche, aber auch bloss tat­sächliche Interessen. Diese brauchen mit dem Interesse, das durch die vom Beschwerdeführer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des Beschwerdeführenden durch den Ausgang des Verfahrens beeinflusst werden kann. Diese Anforderungen sollen die Popularbeschwerde ausschliessen. Ihnen kommt dann eine ganz besondere Bedeutung zu, wenn nicht der Verfügungsadressat im materiellen Sinn, sondern Dritte den Entscheid anfechten. Ist auch in einem solchen Fall ein unmittelbares Berührtsein, eine spezifische Beziehungsnähe gegeben, so hat der Be­schwerdeführende ein ausreichendes Rechtsschutzinteresse daran, dass der angefochtene Entscheid aufgehoben oder geändert wird. Dieses Interesse besteht im praktischen Nutzen, den die erfolgreiche Beschwerde dem Beschwerdeführenden eintragen würde, das heisst in der Abwendung eines materiellen oder ideellen Nachteils, den der an­gefochtene Entscheid für ihn zur Folge hätte (BGE 135 II 172 E. 2.1, BGE 131 II 587 E. 2.1; BVGE 2007/1 E. 3.4; Urteile des Bundesverwaltungsgerichts A 7365/2009 vom 9. November 2010 E. 2.2, A-954 vom 1. Juli 2010 E. 2.2 und A-1182/2009 vom 8. Oktober 2009 E. 1.3.1; vgl. auch Moser/Beusch/Kneubühler, a.a.O., Rz. 2.67, Isabelle Häner, in: Auer/Müller/Schindler [Hrsg.], Kommentar zum Bundesgesetz über das Verwaltungsverfahren (VwVG), Zürich 2008, Rz. 14 zu Art. 48, Vera Marantelli-Sonanini/Said Huber, in: Praxiskommentar VwVG, Wald­mann/Weissenberger [Hrsg.], Zürich 2009, Art. 48 N 27 und Bernhard Waldmann, in: Bundesgerichtsgesetz, Marcel Alexander Niggli/Peter Uebersax/Hans Wiprächtiger [Hrsg.], Basel 2008, Rz. 21 zu Art. 89). Die Nähe der Beziehung zum Streitgegenstand muss bei Bauprojek­ten insbesondere in räumlicher Hinsicht gegeben sein (BGE 133 II 353 E. 3, 120 Ib 59 E. 1c; Urteil des Bundesverwaltungsgerichts A 5466/2008 vom 3. Juni 2009 E. 1.2).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Entwicklungen - ausgehen, die auf den Grundstücken des Beschwerdeführenden aufgrund ihrer Art und Intensität deutlich wahrnehmbar sind. Eine besondere Betroffenheit ist ebenfalls dann zu bejahen, wenn ein besonderer Gefahrenherd mit erhöhtem Risiko für die Anwohner geschaffen wird und der Beschwerdeführende auf Grund der räumlichen Nähe speziell stark exponiert ist (BGE 133 II 249 E. 1.2.1, BGE 120 Ib 379 E. 4c und 431 E. 1, Urteile des Bundesgerichts 1E.10/2006 vom 6. Juli 2006 E. 1.4, 1A.148/2005 vom 20. Dezember 2005 E. 3.3 sowie im Weiteren BGE 113 Ib 225 E. 1c und BGE 112 Ib 154 E. 3; BVGE 2007/1 E. 3.5, Urteile des Bundesverwaltungsgerichts A 7365/2009 vom 9. November 2010 E. 2.2 und A-2016/2006 vom 2. Juli 2008 E. 2.2). Das Beschwerdeinteresse ist hingegen dann nicht schutzwürdig, wenn mit der Beschwerdeführung ein bloss allgemeines öffentliches Interesse oder die Interessen Dritter an der richtigen Anwendung des Rechts verfolgt werden, ohne dass dem Beschwerdeführer im Falle des Obsiegens ein praktischer Nutzen entsteht (Urteil des Bundesverwaltungsgerichts A-6156/2007 vom 17. Dezember 2007 E. 2.2).</w:t>
      </w:r>
    </w:p>
    <w:p>
      <w:r>
        <w:rPr>
          <w:b/>
        </w:rPr>
        <w:t>E. 3.3</w:t>
      </w:r>
    </w:p>
    <w:p>
      <w:r>
        <w:t>Der Beschwerdeführer ist Miteigentümer des Grundstücks an der (...) in (...). Die Vorinstanz hat eine Distanz von ca. 300 m Luftlinie vom Grundstück des Beschwerdeführers zum Standort der geplanten Anlage ermittelt. Gestützt auf die vom Amt für Geoinformation des Kantons Thurgau veröffentlichte Karte der Stadt (...) (Massstab 1:2000) ergibt sich demgegenüber eine räumliche Distanz von (lediglich) ca. 160 Meter zur geplanten Anlage an der nächsten Stelle. Aus den Akten ist allerdings nicht ersichtlich, inwiefern Immissionen aus der geplanten Anlage auf dem Grundstück des Beschwerdeführers wahrnehmbar wären oder diese für ihn einen besonderen Gefahrenherd darstellen würden. Der Beschwerdeführer legt nirgends dar, welche persönlichen Nachteile er mit der Beschwerdeführung abwenden möchte bzw. welche eigenen Nutzungsvorteile oder vorteilhafte Auswirkungen auf seine eigene Situation eine allfällige Gutheissung der Beschwerde bewirken würde. Im Gegenteil räumt er offenbar mit Bezug auf die NIS-Belastung selber ein, es wirkten sich für ihn keine Immissionen negativ aus. Der Beschwerdeführer macht bloss private Interessen Dritter, d.h. künftiger Nutzer und Bewohner der geplanten Wohnbaute auf der sistierten Zone (bezüglich NIS-Belastung und Bauabstände) sowie Allgemeininteressen der Raumplanung, d.h. die Nichtbeachtung der sistierten Zone, geltend.</w:t>
      </w:r>
    </w:p>
    <w:p>
      <w:r>
        <w:rPr>
          <w:b/>
        </w:rPr>
        <w:t>E. 3.4</w:t>
      </w:r>
    </w:p>
    <w:p>
      <w:r>
        <w:t>Gestützt auf vorstehende Erwägungen ist der Beschwerdeführer weder durch das Projekt besonders berührt noch liegen schutzwürdige Interessen vor. Somit ist seine Beschwerdelegitimation zu verneinen. Auf die Beschwerde ist demnach insgesamt nicht einzutreten.</w:t>
      </w:r>
    </w:p>
    <w:p>
      <w:r>
        <w:rPr>
          <w:b/>
        </w:rPr>
        <w:t>E. 4</w:t>
      </w:r>
    </w:p>
    <w:p>
      <w:r>
        <w:t>Bei diesem Verfahrensausgang gilt der Beschwerdeführer als unterlie­gend. Er hat daher die Verfahrenskosten zu tragen (Art. 63 Abs. 1 VwVG). Diese sind auf Fr. 1'000.-- festzusetzen (Art. 1, 2 und 4 des Re­glements vom 21. Februar 2008 über die Kosten und Entschädigun­gen vor dem Bundesverwaltungsgericht [VGKE, SR 173.320.2]) und mit dem geleisteten Kostenvorschuss von Fr. 1'500.-- zu verrechnen. Der Restbetrag von Fr. 500.-- ist dem Beschwerdeführer nach Eintritt der Rechtskraft des vorliegenden Urteils zurückzuerstatten.</w:t>
      </w:r>
    </w:p>
    <w:p>
      <w:r>
        <w:rPr>
          <w:b/>
        </w:rPr>
        <w:t>E. 5</w:t>
      </w:r>
    </w:p>
    <w:p>
      <w:r>
        <w:t>Angesichts seines Unterliegens steht dem Beschwerdeführer keine Parteientschädigung zu (Art. 64 Abs. 1 VwVG i.V.m. Art. 7 VGKE). Die Beschwerdegegnerin hat, da sie nicht anwaltlich vertreten ist, ebenfalls keinen Anspruch auf eine Parteientschädigung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