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A-2984/2019 vom 24. August 2020</w:t>
      </w:r>
    </w:p>
    <w:p>
      <w:r>
        <w:t>Bundesverwaltungsgericht, 2020-08-24, FR</w:t>
      </w:r>
    </w:p>
    <w:p>
      <w:r>
        <w:rPr>
          <w:b/>
        </w:rPr>
        <w:t xml:space="preserve">Quelle: </w:t>
      </w:r>
      <w:r>
        <w:t>https://mcp.opencaselaw.ch/entscheid/bvger_A-2984_2019</w:t>
      </w:r>
    </w:p>
    <w:p>
      <w:r>
        <w:t>FR: TAF A-2984/2019 du 24 août 2020</w:t>
      </w:r>
    </w:p>
    <w:p>
      <w:r>
        <w:t>IT: TAF A-2984/2019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 du registre foncier de la Commune de Grône afin d'y construire le pylône .... Tous les griefs de la recourante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 la recourante. En particulier, les très nombreux arguments - au demeurant fondés, pour la plupart, sur des jurisprudences rendues sous l'ancien droit et manifestement obsolètes - visant à remettre en cause, directement ou indirectement, le tracé de la ligne électrique concernée sont irrecevables et n'ont pas à être examinés, étant rappelé que la détermination dudit tracé a fait l'objet d'une procédure s'étalant sur plus de 15 années et ayant abouti à une décision d'approbation des plans désormais entrée en force.</w:t>
      </w:r>
    </w:p>
    <w:p>
      <w:r>
        <w:rPr>
          <w:b/>
        </w:rPr>
        <w:t>E. 2.3</w:t>
      </w:r>
    </w:p>
    <w:p>
      <w:r>
        <w:t>Dans le cas d'espèce, en date du 12 décembre 2007, la recourante avait signé une convention avec EOS portant sur la parcelle n° ... du RF de la Commune de Grône par laquelle elle donnait son accord à la construction sur son fonds du pylône ... de la ligne Chamoson - Chippis.</w:t>
      </w:r>
    </w:p>
    <w:p>
      <w:r>
        <w:rPr>
          <w:b/>
        </w:rPr>
        <w:t>E. 2.4</w:t>
      </w:r>
    </w:p>
    <w:p>
      <w:r>
        <w:t>Il résulte également de la DAP du 30 juin 2010 que la recourante avait fait opposition au projet, sans qu'il ne soit possible de déterminer si c'était pour la parcelle dont il est ici question ou une autre.</w:t>
      </w:r>
    </w:p>
    <w:p>
      <w:r>
        <w:rPr>
          <w:b/>
        </w:rPr>
        <w:t>E. 3</w:t>
      </w:r>
    </w:p>
    <w:p>
      <w:r>
        <w:t>S'agissant des griefs formels, la recourante invoque un déni de justice et des violations du droit d'être entendu.</w:t>
      </w:r>
    </w:p>
    <w:p>
      <w:r>
        <w:rPr>
          <w:b/>
        </w:rPr>
        <w:t>E. 3.1</w:t>
      </w:r>
    </w:p>
    <w:p>
      <w:r>
        <w:t>La recourante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de la recourante doit être rejeté. Ensuite, force est de constater que la recourante a fondé beaucoup de ses arguments sur des problématiques qui à l'évidence sortent de l'objet de la présente procédure d'envoi en possession anticipé, telles par exemple la remise en cause du tracé de la ligne ou encore des questions qui relèvent de la compétence de l'ESTI (consid. 2.2 supra et 4.6.2.2 infra) ou qui portent sur d'autres pylônes que ceux concernés par la présente procédure.</w:t>
      </w:r>
    </w:p>
    <w:p>
      <w:r>
        <w:rPr>
          <w:b/>
        </w:rPr>
        <w:t>E. 3.2</w:t>
      </w:r>
    </w:p>
    <w:p>
      <w:r>
        <w:t>La recourante se prévaut ensuite d'une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3.3</w:t>
      </w:r>
    </w:p>
    <w:p>
      <w:r>
        <w:t>La recourante se prévaut enfin d'une violation du droit d'être entendue pour le motif que, lors de la séance de conciliation tenue par devant l'autorité inférieure, l'expropriante n'était pas représentée par des techniciens comme elle l'avait pourtant requis, mais seulement par des juristes. Hormis le fait qu'une violation du droit d'être entendu doit être le fait de l'autorité et non d'une partie, la recourante ne saurait être suivie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au printemps 2019, il était prévu que les travaux relatifs à ce tronçon se terminent au printemps 2021.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la recourante se contentant simplement d'évoquer des publications faites dans des médias, au demeurant non identifiables. Il ressort au contraire du site officiel de l'entreprise Nant de Drance SA que "l'aménagement sera pleinement opérationnel en 2021" (site internet : www.nant-de-drance.ch construction : site consulté le 3 août 2020).</w:t>
      </w:r>
    </w:p>
    <w:p>
      <w:r>
        <w:rPr>
          <w:b/>
        </w:rPr>
        <w:t>E. 4.6.2.2</w:t>
      </w:r>
    </w:p>
    <w:p>
      <w:r>
        <w:t>L'argument de la recourante selon lequel l'expropriante n'est, à ce jour, pas en mesure de construire de manière sûre les installations qui se trouvent en zone de danger et qu'elle ne saurait, par conséquent, se prévaloir d'une situation d'urgence, ne saurait davantage être suivi. Le Tribunal remarque d'abord que la plupart des passages qui sont extraits par la recourante du rapport du géologue cantonal du 1er juin 2018 qu'elle a versé au dossier concernent en réalité d'autres pylônes. Quoiqu'il en soit, il paraît évident que les mesures de sécurité à prendre nécessiteront - au moins dans une mesure importante - l'accès à la parcelle concernée, ce que permettra précisément l'envoi en possession anticipé. Pour le surplus, les questions relatives à la sécurité sont du ressort de l'ESTI et n'ont pas à être examinées dans la présente procédure.</w:t>
      </w:r>
    </w:p>
    <w:p>
      <w:r>
        <w:rPr>
          <w:b/>
        </w:rPr>
        <w:t>E. 4.6.2.3</w:t>
      </w:r>
    </w:p>
    <w:p>
      <w:r>
        <w:t>La recourante fait également valoir que l'expropriante ne demande pas l'envoi en possession anticipé pour le survol de la parcelle, mais seulement pour la construction du pylône en question, de sorte que la mesure sollicitée ne permettrait pas, au final, d'accélérer la mise en service de l'installation. L'on peine à comprendre l'argumentaire de la recourante.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La recourante fait d'abord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 la recourante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de la recourante,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4.6.2.5</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 l'impact réel de la construction sur la parcelle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4.6.4</w:t>
      </w:r>
    </w:p>
    <w:p>
      <w:r>
        <w:t>Concernant les éventuelles nuisances des champs électromagnétiques dont se prévaut encore la recourante, il s'agit là d'une donnée connue depuis le départ - puisque celles-ci émanent de l'installation elle-même - et qui concerne le choix du tracé de la ligne électrique, soit la phase d'approbation des plans. Cet argument ne saurait être réexaminé dans le cadre de la présente procédure (consid 2.2 et 3.1 supra).</w:t>
      </w:r>
    </w:p>
    <w:p>
      <w:r>
        <w:rPr>
          <w:b/>
        </w:rPr>
        <w:t>E. 4.6.5</w:t>
      </w:r>
    </w:p>
    <w:p>
      <w:r>
        <w:t>Dans ses dernières écritures, la recourante déclare qu'elle accepterait que l'intimée ait accès à sa parcelle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4.6.2.2 supra).</w:t>
      </w:r>
    </w:p>
    <w:p>
      <w:r>
        <w:rPr>
          <w:b/>
        </w:rPr>
        <w:t>E. 4.6.6</w:t>
      </w:r>
    </w:p>
    <w:p>
      <w:r>
        <w:t>La recourante laisse également entendre que l'intimée envisagerait de construire autre chose que ce qui est autorisé.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de la recourante conformément aux plans approuvés. Pour le reste, c'est à l'ESTI qu'échoit la mission de contrôler que la construction se fasse effectivement dans le respect des prescriptions et des autorisations reçues</w:t>
      </w:r>
    </w:p>
    <w:p>
      <w:r>
        <w:rPr>
          <w:b/>
        </w:rPr>
        <w:t>E. 4.6.7</w:t>
      </w:r>
    </w:p>
    <w:p>
      <w:r>
        <w:t>La recourante prétend enfin que l'expropriante utiliserait abusivement l'institution de l'envoi en possession anticipé : sa pratique consisterait, après avoir pu prendre possession du droit, à faire systématiquement obstacle au paiement de l'indemnité d'expropriation. La recourante étaye son propos en faisant référence à d'autres cas dans lesquels l'intimée interviendrait également en tant qu'expropriante. Une telle argumentation qui n'est pas actuelle et porte au demeurant sur des tiers à la présente procédure, n'est pas recevable. La recourante n'est par ailleurs pas toujours très cohérente: ainsi, elle relève - dans l'un des cas qu'elle invoque comme exemple de procédés dilatoires de la part de l'expropriante - qu'un arrêt établissant un déni de justice de la CFE aurait été rendu, de sorte que le retard n'apparaît en réalité pas imputable à l'intimée mais à l'autorité. Quoiqu'il en soit, si l'expropriée devait s'estimer victime d'une manoeuvre de ce genre, l'état actuel du droit ne la laisserait pas dépourvue de moyens d'action. Mais ce n'est pas dans le cadre de la procédure d'envoi en possession anticipé qu'il conviendrait d'agir.</w:t>
      </w:r>
    </w:p>
    <w:p>
      <w:r>
        <w:rPr>
          <w:b/>
        </w:rPr>
        <w:t>E. 4.7</w:t>
      </w:r>
    </w:p>
    <w:p>
      <w:r>
        <w:t>Il résulte de tout ce qui précède que le recours pour autant que recevable est mal fondé. Les réquisitions de preuve déposées par la recourante ne sont pas propres à influencer le sort du litige et doivent par conséquent être rejetées.</w:t>
      </w:r>
    </w:p>
    <w:p>
      <w:r>
        <w:rPr>
          <w:b/>
        </w:rPr>
        <w:t>E. 5.1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5.2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5.3</w:t>
      </w:r>
    </w:p>
    <w:p>
      <w:r>
        <w:t>En l'espèce, la recourante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et beaucoup de pièces produites inutiles. Dans ses écritures, le mandataire de la recourante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procédures closes ou à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général des art. 63 ss PA (consid. 5.2 supra)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5.4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