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A-2968/2021 vom 8. Dezember 2021</w:t>
      </w:r>
    </w:p>
    <w:p>
      <w:r>
        <w:t>Bundesverwaltungsgericht, 2021-12-08, DE</w:t>
      </w:r>
    </w:p>
    <w:p>
      <w:r>
        <w:rPr>
          <w:b/>
        </w:rPr>
        <w:t xml:space="preserve">Quelle: </w:t>
      </w:r>
      <w:r>
        <w:t>https://mcp.opencaselaw.ch/entscheid/bvger_A-2968_2021</w:t>
      </w:r>
    </w:p>
    <w:p>
      <w:r>
        <w:t>FR: TAF A-2968/2021 du 8 décembre 2021</w:t>
      </w:r>
    </w:p>
    <w:p>
      <w:r>
        <w:t>IT: TAF A-2968/2021 del 8 dicembre 2021</w:t>
      </w:r>
    </w:p>
    <w:p>
      <w:pPr>
        <w:pStyle w:val="Heading2"/>
      </w:pPr>
      <w:r>
        <w:t>Regeste</w:t>
      </w:r>
    </w:p>
    <w:p>
      <w:r>
        <w:t>Öffentlich-rechtliche Dienstverhältnisse Bund (Übriges)</w:t>
      </w:r>
    </w:p>
    <w:p>
      <w:pPr>
        <w:pStyle w:val="Heading2"/>
      </w:pPr>
      <w:r>
        <w:t>Erwägungen</w:t>
      </w:r>
    </w:p>
    <w:p>
      <w:r>
        <w:rPr>
          <w:b/>
        </w:rPr>
        <w:t>E. 1.1</w:t>
      </w:r>
    </w:p>
    <w:p>
      <w:r>
        <w:t>Das Bundesverwaltungsgericht beurteilt gemäss Art. 31 VGG Beschwerden gegen Verfügungen nach Art. 5 VwVG, sofern eine Vorinstanz im Sinne von Art. 33 VGG entschieden hat und keine Ausnahme nach Art. 32 VGG gegeben ist. Anfechtungsobjekt bei einer Rechtsverzögerungsbeschwerde ist das unrechtmässige Verzögern, mithin das Fehlen einer anfechtbaren Verfügung im Sinn von Art. 5 VwVG (Urteile des BVGer A-2178/A-6795/2013 vom 25. Februar 2014 E. 1.1.2, A-3567/2013 vom 6. August 2013 E. 1.1.1). Beschwerdeinstanz ist jene Behörde, die zuständig wäre, wenn die Verfügung ordnungsgemäss ergangen wäre (BVGE 2008/15 E. 3.1.1).</w:t>
      </w:r>
    </w:p>
    <w:p>
      <w:r>
        <w:rPr>
          <w:b/>
        </w:rPr>
        <w:t>E. 1.2</w:t>
      </w:r>
    </w:p>
    <w:p>
      <w:r>
        <w:t>Die ETH-Zürich gehört organisatorisch dem WBF an (vgl. Anhang 1 VI. Ziff. 2.1.1 Regierungs- und Verwaltungsorganisationsverordnung vom 25. November 1998 [SR 172.010.1]). Dieses erachtet sich in der vorliegenden Sache deshalb als zuständig für den allfälligen Erlass oder Nichterlass einer anfechtbaren Verfügung (vgl. Vernehmlassung S. 2), womit die Beschwerdeführerin übereinstimmt (vgl. Beschwerde S. 2; Schlussbemerkung S. 1). Das WBF ist eine zulässige Vorinstanz des Bundesverwaltungsgerichts im Sinne von Art. 33 Bst. d VGG. Insoweit im bisherigen Verfahren die Schweizerische Eidgenossenschaft als Vorinstanz angesehen wurde, ist dies im Rubrum entsprechend zu berichtigen. Darüber hinaus gehende Fragen zur Zuständigkeit respektive zur Anfechtbarkeit der seitens der Beschwerdeführerin vom Bundesrat Guy Parmelin verlangten Verfügung können angesichts des Beschwerdeausgangs offengelassen werden.</w:t>
      </w:r>
    </w:p>
    <w:p>
      <w:r>
        <w:rPr>
          <w:b/>
        </w:rPr>
        <w:t>E. 2.1</w:t>
      </w:r>
    </w:p>
    <w:p>
      <w:r>
        <w:t>Es stellt sich die Frage nach dem Anfechtungsobjekt. Im Schreiben des Bundesrats Guy Parmelin vom 25. Mai 2021, welches dieser als Vorsteher des WBF verfasste, informiert er die aktuellen Mitglieder der ETH-Beschwerdekommission, inklusive die Beschwerdeführerin, über die anstehende Revision des ETH-Gesetzes sowie über die neu vorgesehene Geschäftsordnung. Die Beschwerdeführerin und die Vorinstanz sprechen diesem Informationsschreiben zu Recht Verfügungsqualität ab. Damit kann es nicht Anfechtungsobjekt bilden.</w:t>
      </w:r>
    </w:p>
    <w:p>
      <w:r>
        <w:rPr>
          <w:b/>
        </w:rPr>
        <w:t>E. 2.2</w:t>
      </w:r>
    </w:p>
    <w:p>
      <w:r>
        <w:t>Nach Art. 46a VwVG kann gegen das unrechtmässige Verweigern oder Verzögern einer anfechtbaren Verfügung ebenfalls Beschwerde geführt werden. Voraussetzung für diese Beschwerde ist, dass die Rechtsuchende zuvor ein Begehren um Erlass einer anfechtbaren Verfügung bei der zuständigen Behörde gestellt hat. Im Schreiben vom 21. Juni 2021 verlangte die Beschwerdeführerin eine solche anfechtbare Verfügung. In der kurz darauf erhobenen Beschwerde bringt sie vor, sie habe auf ihre Schreiben vom 10. und 21. Juni 2021 trotz Fristsetzung keine Antwort erhalten und präzisiert in den Schlussbemerkungen, ihr Begehren sei als Rechtsverweigerungsbeschwerde anzusehen. Eine solche kann grundsätzlich jederzeit erhoben werden und ist nicht an eine Frist gebunden (Art. 50 Abs. 2 VwVG). Es ist dennoch festzustellen, dass die Beschwerdeführerin die Antwort der von ihr angesetzten Frist im Schreiben vom 21. Juni 2021 nicht abgewartet und Beschwerde erhoben hat, bevor sie Kenntnis vom an sich fristgerecht ergangenen Schreiben der Vorinstanz vom 24. Juni 2021 nahm. Diese führt darin aus, dass es einen Feststellunganspruch für nicht gegeben hält und bringt damit zum Ausdruck, dass auf das Gesuch der Beschwerdeführerin nicht einzutreten ist. Da dieses Schreiben nicht in Verfügungsform erging, ist es der Beschwerdeführerin nicht anzulasten, dass sie dieses nicht separat angefochten hat. Auch wäre es nicht sachgerecht, die Rechtsverweigerungsbeschwerde aufgrund dieser Antwort als gegenstandslos zu betrachten. Vielmehr sind die Beschwerdebegehren als Rechtsverweigerungsbeschwerde entgegenzunehmen und die weiteren Prozessvoraussetzungen zu prüfen.</w:t>
      </w:r>
    </w:p>
    <w:p>
      <w:r>
        <w:rPr>
          <w:b/>
        </w:rPr>
        <w:t>E. 3.1</w:t>
      </w:r>
    </w:p>
    <w:p>
      <w:r>
        <w:t>Eine Rechtsverzögerungs- oder Rechtsverweigerungsbeschwerde soll grundsätzlich nur dann zur Anwendung kommen, wenn die verweigerte oder verzögerte Verfügung grundsätzlich selbst anfechtbar wäre. Die Beschwerdeführerin hat deshalb im Sinne einer Eintretensvoraussetzung zumindest glaubhaft zu machen,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BVGE 2016/20 E. 3).</w:t>
      </w:r>
    </w:p>
    <w:p>
      <w:r>
        <w:rPr>
          <w:b/>
        </w:rPr>
        <w:t>E. 3.2</w:t>
      </w:r>
    </w:p>
    <w:p>
      <w:r>
        <w:t>Diese Pflicht der Vorinstanz zum Handeln in Verfügungsform ist nicht ersichtlich. Im Zeitpunkt, als die Beschwerdeführerin das Gesuch um Erlass einer anfechtbaren Verfügung gestellt hat, war die Revision des ETH-Gesetzes noch nicht abgeschlossen. Vielmehr lief die Referendumsfrist noch bis zum 8. Juli 2021 (vgl. Änderung des ETH-Gesetz vom 19. März 2021, BBl 2021 671). Damit war die Vorinstanz zu jenem Zeitpunkt nicht in der Lage, rechtsverbindliche Auskünfte über die voraussichtlichen Auswirkungen der bevorstehenden Gesetzesänderung auf ihre Mitgliedschaft in der ETH-Beschwerdekommission zu machen. Entsprechend war sie in jenem Zeitpunkt auch nicht verpflichtet, eine anfechtbare Verfügung zu erlassen. Das Schreiben der Vorinstanz vom 24. Juni 2021 ist in diesem Sinne als hinreichend anzusehen. Der Umstand, dass das ETH-Gesetz am 1. November 2021 in Kraft trat und der Bundesrat am 10. November 2021 per Anfang 2022 die neuen Mitglieder der ETH-Beschwerdekommission wählte, ändert an dieser Einschätzung nichts, da die mittlerweile veränderte Rechtslage nicht Gegenstand des vorliegenden Verfahrens bildet.</w:t>
      </w:r>
    </w:p>
    <w:p>
      <w:r>
        <w:rPr>
          <w:b/>
        </w:rPr>
        <w:t>E. 3.3</w:t>
      </w:r>
    </w:p>
    <w:p>
      <w:r>
        <w:t>Auch aus Art. Art. 25a VwVG ist kein Anspruch auf eine Feststellungsverfügung abzuleiten. Die Beschwerdeführerin argumentiert, dass das Schreiben des als Vorsteher der Vorinstanz handelnden Bundesrats Guy Parmelin vom 25. Mai 2021 einen Realakt darstelle (vgl. Schlussbemerkung S. 6). Ein Realakt zielt auf die unmittelbare Gestaltung der Faktenlage ab (vgl. BGE 130 I 369 E. 6.1). Im Schreiben vom 25. Mai 2021 ist kein solcher Realakt zu sehen, da dieses weder direkt noch indirekt die Rechte der Beschwerdeführerin berührt. Es hatte einzig den Zweck, den aktuellen Mitgliedern der ETH-Beschwerdekommission die voraussichtlichen Änderungen der Rechtslage bekanntzugeben. Damit kommt ihm reiner Informations- und keinerlei Gestaltungcharakter zu.</w:t>
      </w:r>
    </w:p>
    <w:p>
      <w:r>
        <w:rPr>
          <w:b/>
        </w:rPr>
        <w:t>E. 3.4</w:t>
      </w:r>
    </w:p>
    <w:p>
      <w:r>
        <w:t>Nach dem Gesagten gelingt es der Beschwerdeführerin nicht, glaubhaft zu machen, dass ein Anspruch auf Erlass einer Feststellungsverfügung besteht, weshalb auf die Rechtsverweigerungsbeschwerde nicht einzutreten ist. Im Übrigen ist festzustellen, dass die Frage nach der Verfügungsqualität des Schreibens des Bundesrats vom 25. Mai 2021 nicht strittig und damit nicht Gegenstand des Verfahrens ist, weshalb auf das entsprechende Begehren ebenfalls nicht einzutreten ist.</w:t>
      </w:r>
    </w:p>
    <w:p>
      <w:r>
        <w:rPr>
          <w:b/>
        </w:rPr>
        <w:t>E. 4.1</w:t>
      </w:r>
    </w:p>
    <w:p>
      <w:r>
        <w:t>Die Kosten des vorliegenden Verfahrens werden in Anwendung von Art. 1 ff., insb. Art. 4 des Reglements vom 21. Februar 2008 über die Kosten und Entschädigungen vor dem Bundesverwaltungsgericht (VGKE; SR 173.320.2) festgesetzt und sind grundsätzlich der unterliegenden Partei aufzuerlegen (Art. 63 Abs. 1 VwVG). Da die Fragestellung des vorliegenden Verfahrens eng mit dem Arbeitsverhältnis der Beschwerdeführerin als Leiterin des Sekretariats der ETH-Beschwerdekommission verknüpft und das Beschwerdeverfahren in personalrechtlichen Belangen kostenlos ist (Art. 34 Abs. 2 BPG), wird auf das Erheben von Verfahrenskosten verzichtet.</w:t>
      </w:r>
    </w:p>
    <w:p>
      <w:r>
        <w:rPr>
          <w:b/>
        </w:rPr>
        <w:t>E. 4.2</w:t>
      </w:r>
    </w:p>
    <w:p>
      <w:r>
        <w:t>Bei diesem Ausgang des Verfahrens ist der Beschwerdeführerin keine Parteientschädigung zuzusprechen (vgl. Art. 64 Abs. 1 VwVG e contrario). Der Vorinstanz ist ebenfalls keine Parteientschädigung zuzusprechen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