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A-2961/2017 vom 26. Oktober 2018</w:t>
      </w:r>
    </w:p>
    <w:p>
      <w:r>
        <w:t>Bundesverwaltungsgericht, 2018-10-26, DE</w:t>
      </w:r>
    </w:p>
    <w:p>
      <w:r>
        <w:rPr>
          <w:b/>
        </w:rPr>
        <w:t xml:space="preserve">Quelle: </w:t>
      </w:r>
      <w:r>
        <w:t>https://mcp.opencaselaw.ch/entscheid/bvger_A-2961_2017</w:t>
      </w:r>
    </w:p>
    <w:p>
      <w:r>
        <w:t>FR: TAF A-2961/2017 du 26 octobre 2018</w:t>
      </w:r>
    </w:p>
    <w:p>
      <w:r>
        <w:t>IT: TAF A-2961/2017 del 26 ottobre 2018</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der Vorinstanz zuständig (vgl. Art. 23 des Elektrizitäts-gesetzes vom 24. Juni 1902 [EleG, SR 734.0] und Art. 31 ff. des Verwal-tungsgerichtsgesetzes vom 17. Juni 2005 [VGG, SR 173.32]). Das Verfahren vor dem Bundesverwaltungsgericht richtet sich nach dem Verwaltungsverfahrensgesetz vom 20. Dezember 1968 (VwVG, SR 172.021),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1.3.1</w:t>
      </w:r>
    </w:p>
    <w:p>
      <w:r>
        <w:t>Streitgegenstand der nachträglichen Verwaltungsrechtspflege und damit des Beschwerdeverfahrens ist grundsätzlich einzig das Rechtsverhältnis, das Gegenstand des angefochtenen Entscheides bildet oder bei richtiger Rechtsanwendung hätte bilden sollen, soweit es nach Massgabe der Beschwerdebegehren im Streit liegt. Der Entscheid der unteren Instanz (Anfechtungsobjekt) bildet somit den Rahmen, der den möglichen Umfang des Streitgegenstandes begrenzt: Gegenstände, über welche die vorinstanzliche Behörde nicht entschieden hat und nicht zu entscheiden hatte, darf die Beschwerdeinstanz grundsätzlich nicht beurteilen, da sie ansonsten in die funktionelle Zuständigkeit der Vorinstanz eingreifen würde; insoweit ist auf eine Beschwerde nicht einzutreten (statt vieler Urteil des BVGer A-383/2017 vom 12. Dezember 2017 E. 2.1).</w:t>
      </w:r>
    </w:p>
    <w:p>
      <w:r>
        <w:rPr>
          <w:b/>
        </w:rPr>
        <w:t>E. 1.3.2</w:t>
      </w:r>
    </w:p>
    <w:p>
      <w:r>
        <w:t>Streitgegenstand des vorliegenden Beschwerdeverfahrens ist ausschliesslich die Durchsetzung der periodischen Kontrolle. Soweit der Beschwerdeführer in seiner Beschwerde beantragt, die Unterbrechung der Stromzufuhr sei zu verfügen und die Kosten dieser Verfügung seien auf höchstens Fr. 200.- festzusetzen, ist ihm entgegenzuhalten, dass die Frage des Stromunterbruchs nicht Gegenstand der angefochtenen Verfügung bildet. Auf diese Begehren des Beschwerdeführers ist demnach nicht einzutreten. Sie sind indes immerhin insofern beachtlich, als sie für die Beurteilung der Rechtmässigkeit der Durchsetzung der periodischen Kontrolle von Bedeutung sind.</w:t>
      </w:r>
    </w:p>
    <w:p>
      <w:r>
        <w:rPr>
          <w:b/>
        </w:rPr>
        <w:t>E. 1.4</w:t>
      </w:r>
    </w:p>
    <w:p>
      <w:r>
        <w:t>Auf die im Übrigen frist- und formgerecht eingereichte Beschwerde (vgl. Art. 50 Abs. 1 und Art. 52 VwVG) ist demnach - unter Vorbehalt von E. 1.3.2 -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2.2</w:t>
      </w:r>
    </w:p>
    <w:p>
      <w:r>
        <w:t>Das Bundesverwaltungsgericht stellt den rechtserheblichen Sachverhalt, unter Vorbehalt der Mitwirkungspflicht der Parteien (vgl. Art. 13 VwVG), von Amtes wegen fest (Art. 12 VwVG) und wendet das Recht grundsätzlich frei an, ohne an die Parteianträge oder die rechtlichen Begründungen der Parteien gebunden zu sein (Art. 62 Abs. 4 VwVG).</w:t>
      </w:r>
    </w:p>
    <w:p>
      <w:r>
        <w:rPr>
          <w:b/>
        </w:rPr>
        <w:t>E. 3.1</w:t>
      </w:r>
    </w:p>
    <w:p>
      <w:r>
        <w:t>Auf den 1. Januar 2018 sind verschiedene Änderungen der NIV in Kraft getreten. Weil sich die angefochtene Verfügung vom 24. April 2017 noch auf die NIV in der bis zum 31. Dezember 2017 gültigen Fassung stützt, stellt sich zunächst die Frage des anwendbaren Rechts.</w:t>
      </w:r>
    </w:p>
    <w:p>
      <w:r>
        <w:rPr>
          <w:b/>
        </w:rPr>
        <w:t>E. 3.2</w:t>
      </w:r>
    </w:p>
    <w:p>
      <w:r>
        <w:t>Gemäss bundesgerichtlicher Rechtsprechung sind Verwaltungsakte mangels anderslautender intertemporaler Regelung grundsätzlich nach der materiellen Rechtslage im Zeitpunkt ihres Ergehens zu beurteilen (BGE 139 II 263 E. 6 m.H.). Neues Recht ist ausnahmsweise anzuwenden, wenn es sich aus zwingenden Gründen, vor allem um der öffentlichen Ordnung willen, aufdrängt (BGE 139 II 470 E. 4.2). Analoges soll gelten, wenn die Gesetzesänderung zur Verbesserung der rechtlichen Situation des Be-troffenen führt (Urteil des BVGer B-4973/2016 vom 12. Mai 2017 E. 4.2; MOSER/BEUSCH/KNEUBÜHLER, Prozessieren vor dem Bundesverwaltungs-gericht, 2. Aufl. 2013, N. 2.203 m.H.).</w:t>
      </w:r>
    </w:p>
    <w:p>
      <w:r>
        <w:rPr>
          <w:b/>
        </w:rPr>
        <w:t>E. 3.3</w:t>
      </w:r>
    </w:p>
    <w:p>
      <w:r>
        <w:t>Vorliegend besteht weder eine spezialgesetzliche Übergangsregelung für die hier relevanten Bestimmungen noch liegen zwingende Gründe für die Anwendung neuen Rechts vor, weshalb die Bestimmungen der NIV in der bis zum 31. Dezember 2017 gültigen Fassung zur Anwendung kom-men (vgl. Urteil des BVGer A-5411/2016 vom 26. Februar 2018 E. 3.3).</w:t>
      </w:r>
    </w:p>
    <w:p>
      <w:r>
        <w:rPr>
          <w:b/>
        </w:rPr>
        <w:t>E. 4</w:t>
      </w:r>
    </w:p>
    <w:p>
      <w:r>
        <w:t>Gemäss Art. 20 Abs. 1 EleG ist der Betriebsinhaber (Eigentümer, Pächter usw.) für die Beaufsichtigung der elektrischen Anlagen und die Überwachung ihres guten Zustandes verantwortlich. Der Eigentümer oder der von ihm bezeichnete Vertreter muss auf Verlangen den entsprechenden Sicherheitsnachweis erbringen (Art. 5 Abs. 1 NIV). Die Durchführung von technischen Kontrollen und die Ausstellung der entsprechenden Sicherheitsnachweise erfolgen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der Vorinstanz die Durchsetzung der periodischen Kontrolle (Art. 36 Abs. 1 und 3 NIV). Die Vorinstanz ist gemäss Art. 41 NIV berechtigt, für die Kontrolltätigkeit und für Verfügungen nach dieser Verordnung Gebühren zu erheben (statt vieler Urteil des Bundesverwaltungsgerichts A-3145/2013 vom 18. September 2013 E. 4.1).</w:t>
      </w:r>
    </w:p>
    <w:p>
      <w:r>
        <w:rPr>
          <w:b/>
        </w:rPr>
        <w:t>E. 5.1</w:t>
      </w:r>
    </w:p>
    <w:p>
      <w:r>
        <w:t>Die formellen Voraussetzungen für die Übergabe der Angelegenheit an die Vorinstanz sind vorliegend erfüllt und unbestritten. Weiter ist die mit Schreiben der Vorinstanz vom 31. August 2016 auf den 30. September 2016 angesetzte Frist verstrichen, ohne dass bei der Netzbetreiberin der Sicherheitsnachweis einging. Der Beschwerdeführer bestreitet diesen Sachverhalt nicht.</w:t>
      </w:r>
    </w:p>
    <w:p>
      <w:r>
        <w:rPr>
          <w:b/>
        </w:rPr>
        <w:t>E. 5.2</w:t>
      </w:r>
    </w:p>
    <w:p>
      <w:r>
        <w:t>Im Weiteren stellt der Beschwerdeführer die grundsätzliche Verpflichtung, als Eigentümer einer Liegenschaft einen Sicherheitsnachweis erbringen zu müssen, nicht in Frage. Er macht indes geltend, dass mit der von ihm gegenüber der Netzbetreiberin und der Vorinstanz mehrfach vorgeschlagenen Stromabschaltung der Sinn der NIV erfüllt und die Sicherheit der Anlage tatsächlich verbessert werde. Die Netzbetreiberin habe die Stromabschaltung anlässlich eines Telefonats denn auch akzeptiert. Der von ihm im Anschluss beauftragte Elektriker habe den Auftrag jedoch abgelehnt, da dieser davon ausging, er sei hierzu nicht befugt. Über den Inhalt einer danach stattgefundenen Besprechung sei ihm nichts bekannt, wobei jedoch die E-Mail der Vorinstanz vom 13. März 2017, worin sie sich bei der Netzbetreiberin erkundigte, ob die Stromzufuhr unterbrochen worden sei und sie das Verfahren abschliessen könne, die These stütze, dass sie mit einer Unterbrechung zufrieden gewesen wäre und auf eine Verfügung verzichtet hätte. Der Vorinstanz sei bekannt gewesen, dass die Netzbetreiberin die Unterbrechung nicht veranlasst bzw. trotz bestehendem Auftrag an den Hauselektriker die Durchführung nicht wirksam unterstützt oder bewilligt habe. Wenn die fragliche Liegenschaft von der Stromzufuhr abgetrennt wurde, ist der Eigentümer von der Pflicht, einen Sicherheitsnachweis einzureichen, entbunden. Erst wenn die Gesamtheit der elektrischen Installationen nicht mehr mit Strom versorgt wird, ist sichergestellt, dass keine Installationen mehr unter Spannung stehen (vgl. Urteile des Bundesverwaltungsgerichts A-1724/2012 vom 20. September 2012 E. 4.2 und A-3527/2007 vom 20. September 2007 E. 6.1). Arbeiten in diesem Zusammenhang dürfen grundsätzlich nur von Personen mit einer Installationsbewilligung ausgeführt werden. Wurde die Stromzufuhr unterbrochen, teilt die Netzbetreiberin der Vorinstanz mit, dass damit die periodische Kontrolle hinfällig geworden ist, woraufhin diese das Verfahren zur Durchsetzung der periodischen Kontrolle bis zum Wiedereinschalten der Stromzufuhr sistiert (vgl. Bulletin electrosuisse 12/2017, Unterbrechen der Stromzufuhr statt periodische Kontrolle, S. 11).</w:t>
      </w:r>
    </w:p>
    <w:p>
      <w:r>
        <w:rPr>
          <w:b/>
        </w:rPr>
        <w:t>E. 5.2.1</w:t>
      </w:r>
    </w:p>
    <w:p>
      <w:r>
        <w:t>Es ist vorliegend unbestritten, dass die Stromzufuhr zur fraglichen Wohnung nicht unterbrochen wurde, weshalb der Beschwerdeführer von seiner Pflicht zur Einreichung eines Sicherheitsnachweises nicht entbunden ist. Die erwähnten Vorbringen des Beschwerdeführers laufen jedoch letztlich auf die Frage des Vertrauensschutzes hinaus. Es ist zu prüfen, ob sich der Beschwerdeführer auf den Schutz des berechtigten Vertrauens stützen kann, indem er aufgrund der von der Netzbetreiberin mündlich bewilligten Stromunterbrechung und nachdem er einen Elektriker damit beauftragt hatte, davon ausgehen durfte, die Netzbetreiberin werde das weitere Vorgehen prüfen und die Vorinstanz über die bestehenden Abklärungen in Kenntnis setzen. Der in Art. 5 Abs. 3 BV verankerte Grundsatz von Treu und Glauben gebietet ein loyales und vertrauenswürdiges Verhalten im Rechtsverkehr. Im Verwaltungsrecht wirkt sich dieser Grundsatz unter anderem in Form des sogenannten Vertrauensschutzes aus, das heisst er verleiht den Privaten einen Anspruch darauf, in ihrem berechtigten Vertrauen in behördliche Zusicherungen oder in anderes, bestimmte Erwartungen begründendes Verhalten der Behörden geschützt zu werden (vgl. Art. 9 BV; statt vieler: Häfelin/Müller/Uhlmann, Allgemeines Verwaltungsrecht, 7. Auflage 2016, Rz. 620 ff. m.H.). Der Anspruch setzt zunächst eine Vertrauensgrundlage voraus, das heisst ein Verhalten eines staatlichen Organs, das bei den Betroffenen bestimmte Erwartungen auslöst und so bestimmt ist, dass diese daraus die für ihre Dispositionen massgeblichen Informationen entnehmen können. Erforderlich ist weiter, dass die sich auf den Vertrauensschutz Berufenden von der Vertrauensgrundlage Kenntnis hatten und deren allfällige Fehlerhaftigkeit weder kannten noch bei gehöriger Sorgfalt hätten kennen müssen. Den Anspruch auf Vertrauensschutz kann sodann grundsätzlich nur geltend machen, wer gestützt auf sein Vertrauen eine Disposition getätigt hat, die ohne Nachteil nicht wieder rückgängig zu machen ist. Schliesslich kann der Berufung auf den Vertrauensschutz auch bei ansonsten erfüllten Voraussetzungen ein allfälliges überwiegendes Interesse, namentlich an der richtigen Rechtsanwendung, entgegenstehen (Urteile des BGer 2C_199/2017 vom 12. Juni 2018 E. 3.3 f. und 1C_344/2017 vom 17. April 2018 E. 5.2.1; Urteil des BVGer A-6780/2016 vom 14. März 2018 E. 10.3.2; je m.w.H.).</w:t>
      </w:r>
    </w:p>
    <w:p>
      <w:r>
        <w:rPr>
          <w:b/>
        </w:rPr>
        <w:t>E. 5.2.2</w:t>
      </w:r>
    </w:p>
    <w:p>
      <w:r>
        <w:t>Im vorliegenden Fall ergibt sich aus einer E-Mail des Beschwerdeführers an die B._______ AG vom 10. März 2017, dass die Netzbetreiberin eine Stromunterbrechung mündlich bewilligt haben soll. In einer weiteren E-Mail der Netzbetreiberin an die Vorinstanz vom 13. März 2017 wird bestätigt, dass die Stromzufuhr zwar nicht unterbrochen, der Beschwerdeführer von der Netzbetreiberin aber darüber informiert wurde, dass er dafür eine Installationsfirma beauftragen müsse, welche die betroffenen Anlageteile eindeutig vom Netz abtrenne und der Netzbetreiberin die Abtrennung schliesslich bestätige. Damit ist erstellt, dass die Netzbetreiberin in eine Stromunterbrechung eingewilligt hat und die Vorinstanz bei einer solchen auf den Erlass einer Verfügung verzichtet hätte. Die Inhalte der E-Mails werden von der Vorinstanz im Rahmen ihrer Vernehmlassung im Übrigen nicht bestritten. Zur Abklärung des weiteren Vorgehens hat die B._______ AG die Netzbetreiberin zu kontaktieren versucht, diese jedoch nicht erreicht. In der Folge hat die Netzbetreiberin nichts unternommen, obwohl sie über den Auftrag des Beschwerdeführers an die B._______ AG informiert war. Vor diesem Hintergrund wäre sie gehalten gewesen, die B._______ AG zu kontaktieren und ihr die bewilligte Stromunterbrechung zu bestätigen, zumal diese über die für die Stromunterbrechung erforderliche Installationsbewilligung (vgl. E. 5.2.1) verfügt (vgl. Verzeichnis Installations- und Kontrollbewilligungen, &lt; https://www.esti.admin.ch/de/dokumentation/bewilligungsverzeichnisse/ &gt;, abgerufen am 16. Oktober 2018). Der Beschwerdeführer hatte alle erforderlichen Schritte für die bewilligte Stromunterbrechung eingeleitet und war im Weiteren auf die Mitwirkung der Netzbetreiberin angewiesen. Er durfte daher darauf vertrauen, dass die Netzbetreiberin das weitere Vorgehen mit der B._______ AG besprechen und die Vorinstanz über die in die Wege geleitete Stromunterbrechung informieren wird. Zwar erfolgte die Bewilligung der Stromunterbrechung und damit die Erzeugung des Vertrauens durch die Netzbetreiberin und nicht durch die das Vertrauen enttäuschende Vorinstanz. Die Vorinstanz hat sich indessen als Aufsichtsbehörde (vgl. Art. 34 Abs. 1 i.V.m. Art. 26 Abs. 1 lit. c NIV) die von der Netzbetreiberin geschaffene Vertrauensgrundlage anrechnen zu lassen (vgl. auch Weber-Dürler, Vertrauensschutz im öffentlichen Recht, 1983, S. 106). Schliesslich sind auch die übrigen Voraussetzungen für die Berufung auf den Vertrauensschutz erfüllt. Insbesondere hat es der Beschwerdeführer in der Folge unterlassen, weitere Massnahmen zu treffen, um den Erlass der Verfügung zu verhindern, da er davon ausgehen durfte, dass die Netzbetreiberin die weiteren Schritte in die Wege leitet.</w:t>
      </w:r>
    </w:p>
    <w:p>
      <w:r>
        <w:rPr>
          <w:b/>
        </w:rPr>
        <w:t>E. 6.1</w:t>
      </w:r>
    </w:p>
    <w:p>
      <w:r>
        <w:t>In ihrer Vernehmlassung stellt sich die Vorinstanz auf den Standpunkt, dass eine Unterbrechung der Stromzufuhr nicht vorgenommen werden könne. Sie stützt sich dabei auf Art. 40 Abs. 1 NIV. Aus den Akten würden sich keine Hinweise ergeben, dass die Installation in der fraglichen Wohnung Mängel aufweise, welche eine Stromunterbrechung gestützt auf Art. 40 Abs. 1 NIV begründen würden.</w:t>
      </w:r>
    </w:p>
    <w:p>
      <w:r>
        <w:rPr>
          <w:b/>
        </w:rPr>
        <w:t>E. 6.1.1</w:t>
      </w:r>
    </w:p>
    <w:p>
      <w:r>
        <w:t>Grundsätzlich ist festzuhalten, dass die Betreiber von Verteilnetzen einer rechtlichen Verpflichtung zur Lieferung von Strom unterstehen (vgl. Art. 6 Abs. 1 des Stromversorgungsgesetzes vom 23. März 2007, [StromVG, SR 734.7]). Alle Bezüger von Versorgungsleistungen sind rechtsgleich und willkürfrei zu versorgen (vgl. Art. 35 BV). Dabei besteht das Benützerverhältnis in Mehrfamilienhäusern für den Allgemeinstrom im allen Bewohnern zugänglichen Liegenschaftsteil zum Grundeigentümer und für den individuellen Verbrauch innerhalb des Mietobjekts zum jeweiligen Mieter (vgl. BGE 137 I 120 E. 5.3). Aus der Rechtsprechung ergibt sich, dass Netzbetreiber die Lieferung von Strom einstellen dürfen: Ein Stromunterbruch wurde in der Judikatur als grundsätzlich zulässig erachtet, wenn Zahlungsausstände bestehen. Vorausgesetzt ist eine vorgängige Verfügung des beabsichtigten Stromunterbruchs zuhanden der betroffenen Personen und die Einhaltung des Grundsatzes der Verhältnismässigkeit (vgl. BGE 137 I 120).</w:t>
      </w:r>
    </w:p>
    <w:p>
      <w:r>
        <w:rPr>
          <w:b/>
        </w:rPr>
        <w:t>E. 6.1.2</w:t>
      </w:r>
    </w:p>
    <w:p>
      <w:r>
        <w:t>Es ist mit der Vorinstanz einig zu gehen, dass es sich beim vorliegend beantragten Stromunterbruch nicht um einen Anwendungsfall von Art. 40 Abs. 1 NIV handelt. Mit Blick auf die erwähnte Rechtsprechung ist indessen festzuhalten, dass die grundsätzliche Zulässigkeit eines Stromunterbruchs nicht von vornherein verneint werden kann. Die Möglichkeit einer Energiesperre ist auch im Reglement über den Betrieb des Verteilnetzes und die Energielieferung des Elektrizitätswerks der Stadt Zürich (ewz) (AS 732.210) vorgesehen, wonach eine Energiesperre unter anderem dann zulässig ist, wenn die Kundin oder der Kunde dem ewz oder seinen Beauftragten den Zugang zu den Netzanschlüssen, den Niederspannungsinstallationen oder den Messeinrichtungen verwehrt oder verunmöglicht (Ziff. 5.8 lit. b).</w:t>
      </w:r>
    </w:p>
    <w:p>
      <w:r>
        <w:rPr>
          <w:b/>
        </w:rPr>
        <w:t>E. 6.2</w:t>
      </w:r>
    </w:p>
    <w:p>
      <w:r>
        <w:t>Nach dem Gesagten ist die Frage eines allfälligen Stromunterbruchs anstelle einer periodischen Kontrolle im vorliegenden Fall unzureichend geklärt. Die Zulässigkeit eines solchen und mithin ein Abweichen von der Pflicht zur Einreichung eines Sicherheitsnachweises ist insbesondere dann nicht von vornherein auszuschliessen, wenn sich diese Massnahme als geeignet erweist, die Sicherheit der elektrischen Installationen in der betreffenden Wohnung sicherzustellen und ein schutzwürdiges Interesse der leistungsberechtigten Person vorliegt, zumal im vorliegenden Verfahren Abklärungen hierzu noch im Gange waren.</w:t>
      </w:r>
    </w:p>
    <w:p>
      <w:r>
        <w:rPr>
          <w:b/>
        </w:rPr>
        <w:t>E. 7</w:t>
      </w:r>
    </w:p>
    <w:p>
      <w:r>
        <w:t>Zum Zeitpunkt des Erlasses der angefochtenen Verfügung vom 24. April 2017 hat die Netzbetreiberin über die Frage eines möglichen Stromunterbruchs noch nicht abschliessend entschieden. Da sich die Vorinstanz - wie bereits ausgeführt - das Verhalten der Netzbetreiberin vollumfänglich anrechnen lassen muss, hat sie mit dem Erlass der Verfügung gegen den Grundsatz von Treu und Glauben verstossen.</w:t>
      </w:r>
    </w:p>
    <w:p>
      <w:r>
        <w:rPr>
          <w:b/>
        </w:rPr>
        <w:t>E. 8</w:t>
      </w:r>
    </w:p>
    <w:p>
      <w:r>
        <w:t>Zusammenfassend erweist sich die Beschwerde als begründet und ist in Aufhebung der angefochtenen Verfügung vom 24. April 2017 gutzuheissen, soweit darauf einzutreten ist. Die Sache wird an die Vorinstanz zurückgewiesen, damit sie die Frage eines möglichen Stromunterbruchs anstatt einer periodischen Kontrolle prüft und die Sache neu beurteilt.</w:t>
      </w:r>
    </w:p>
    <w:p>
      <w:r>
        <w:rPr>
          <w:b/>
        </w:rPr>
        <w:t>E. 9</w:t>
      </w:r>
    </w:p>
    <w:p>
      <w:r>
        <w:t>Das Bundesverwaltungsgericht auferlegt die Verfahrenskosten in der Regel der unterliegenden Partei (Art. 63 Abs. 1 VwVG). Dabei gilt die Rückweisung der Angelegenheit zur weiteren Abklärung bzw. zum neuen Entscheid (mit noch offenem Ausgang) praxisgemäss als volles Obsiegen der Beschwerde führenden Partei (vgl. das Urteil des BGer 1C_397/2009 vom 26. April 2010 E. 6). Entsprechend hat der Beschwerdeführer keine Verfahrenskosten zu tragen, woran das Nichteintreten in Bezug auf untergeordnete Punkte nichts ändert, und ihm ist der einbezahlte Kostenvorschuss in der Höhe von Fr. 800.- nach Eintritt der Rechtskraft des vorliegenden Urteils zurückzuerstatten. Nachdem auch der Vorinstanz als Bundesbehörde keine Verfahrenskosten auferlegt werden können (Art. 63 Abs. 2 VwVG), sind keine Verfahrenskosten zu erheben (vgl. auch Urteil des BVGer A-6360/2009 vom 12. August 2011 E. 6). Dem anwaltlich nicht vertretenen Beschwerdeführer ist keine Parteientschädigung zuzusprechen (Art. 64 Abs. 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