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A-2960/2011 vom 19. Juli 2012</w:t>
      </w:r>
    </w:p>
    <w:p>
      <w:r>
        <w:t>Bundesverwaltungsgericht, 2012-07-19, DE</w:t>
      </w:r>
    </w:p>
    <w:p>
      <w:r>
        <w:rPr>
          <w:b/>
        </w:rPr>
        <w:t xml:space="preserve">Quelle: </w:t>
      </w:r>
      <w:r>
        <w:t>https://mcp.opencaselaw.ch/entscheid/bvger_A-2960_2011</w:t>
      </w:r>
    </w:p>
    <w:p>
      <w:r>
        <w:t>FR: TAF A-2960/2011 du 19 juillet 2012</w:t>
      </w:r>
    </w:p>
    <w:p>
      <w:r>
        <w:t>IT: TAF A-2960/2011 del 19 luglio 2012</w:t>
      </w:r>
    </w:p>
    <w:p>
      <w:pPr>
        <w:pStyle w:val="Heading2"/>
      </w:pPr>
      <w:r>
        <w:t>Regeste</w:t>
      </w:r>
    </w:p>
    <w:p>
      <w:r>
        <w:t>Enteignung</w:t>
      </w:r>
    </w:p>
    <w:p>
      <w:pPr>
        <w:pStyle w:val="Heading2"/>
      </w:pPr>
      <w:r>
        <w:t>Erwägungen</w:t>
      </w:r>
    </w:p>
    <w:p>
      <w:r>
        <w:rPr>
          <w:b/>
        </w:rPr>
        <w:t>E. 1.1</w:t>
      </w:r>
    </w:p>
    <w:p>
      <w:r>
        <w:t>Gemäss Art. 77 Abs. 1 des Bundesgesetzes vom 20. Juni 1930 über die Enteignung (EntG, SR 711) können Entscheide der Schätzungskommission beim Bundesverwaltungsgericht angefochten werden. Das Verfahren richtet sich nach dem Verwaltungsgerichts­gesetz vom 17. Juni 2005 (VGG, SR 173.32), soweit das EntG nichts an­deres bestimmt (Art. 77 Abs. 2 EntG). Das VGG verweist in seinem Art. 37 ergänzend auf das Bundesgesetz vom 20. Dezember 1968 über das Verwaltungsverfahren (VwVG, SR 172.021).</w:t>
      </w:r>
    </w:p>
    <w:p>
      <w:r>
        <w:rPr>
          <w:b/>
        </w:rPr>
        <w:t>E. 1.2</w:t>
      </w:r>
    </w:p>
    <w:p>
      <w:r>
        <w:t>Die Beschwerdelegitimation ergibt sich aus Art. 78 Abs. 1 EntG. Im Übrigen gelten die allgemeinen Voraussetzungen gemäss Art. 48 Abs. 1 VwVG, wonach zur Erhebung der Beschwerde an das Bundesverwaltungsgericht berechtigt ist, wer vor der Vorinstanz am Verfahren teilgenommen oder keine Möglichkeit zur Teilnahme erhalten hat (Bst. a), durch die angefochtene Verfügung besonders berührt ist (Bst. b) und ein schutzwürdiges Interesse an deren Aufhebung oder Änderung hat (Bst. c). Die Beschwerdeführenden sind als Adressaten der angefochtenen Verfügungen unmittelbar betroffen und daher zur Beschwerde legitimiert.</w:t>
      </w:r>
    </w:p>
    <w:p>
      <w:r>
        <w:rPr>
          <w:b/>
        </w:rPr>
        <w:t>E. 1.3</w:t>
      </w:r>
    </w:p>
    <w:p>
      <w:r>
        <w:t>Auf die im Übrigen form- und fristgerecht (Art. 50 und Art. 52 VwVG) eingereichte Beschwerde ist demnach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 sowie auf Angemessenheit hin (Art. 49 VwVG).</w:t>
      </w:r>
    </w:p>
    <w:p>
      <w:r>
        <w:rPr>
          <w:b/>
        </w:rPr>
        <w:t>E. 3.1</w:t>
      </w:r>
    </w:p>
    <w:p>
      <w:r>
        <w:t>Im Enteignungsrecht gilt für die Zusprechung einer Parteientschädigung an den Enteigneten, anders als nach Art. 64 VwVG, nicht das Unterliegerprinzip. Gemäss Art. 115 Abs. 1 EntG hat der Enteigner für die notwendigen aussergerichtlichen Kosten des Enteigneten im Einsprache-, im Einigungs- und im Schätzungsverfahren eine angemessene Entschädigung zu leisten. Art. 115 Abs. 1 EntG weist die Pflicht zur Tragung der entstandenen Kosten somit dem Grundsatz nach dem Enteigner zu. Dieser Regelung liegt die Überlegung zugrunde, dass ein Enteigneter wider seinen Willen in ein Enteignungsverfahren einbezogen wird und es sich aus diesem Grund in der Regel rechtfertigt, ihn nicht mit den daraus folgenden Kosten zu belasten (vgl. BGE 124 II 219 E. 10b; Heinz Hess/Heinrich Weibel, Das Enteignungsrecht des Bundes, Bd. I, Bern 1986, Art. 114 N. 3 und 5). Von diesem Grundsatz kann gestützt auf Art. 115 Abs. 2 EntG ausnahmsweise dann abgewichen werden, wenn die Begehren ganz oder zum grössten Teil abgewiesen werden. Bei offensichtlich missbräuchlichen Begehren oder bei offensichtlich übersetzten Forderungen kann der Enteignete sogar zur Bezahlung einer Parteientschädigung an den Enteigner verhalten werden (Art. 115 Abs. 3 EntG). Die Abs. 2 und 3 sind als Kann-Vorschriften ausgestaltet und eröffnen der Vorinstanz einen Ermessensspielraum, der pflichtgemäss auszuüben ist (vgl. BGE 111 Ib 97 E. 3 mit weiteren Hinweisen; Hess/Weibel, a.a.O., Art. 115 N. 4).</w:t>
      </w:r>
    </w:p>
    <w:p>
      <w:r>
        <w:rPr>
          <w:b/>
        </w:rPr>
        <w:t>E. 3.2</w:t>
      </w:r>
    </w:p>
    <w:p>
      <w:r>
        <w:t>Ist es aufgrund von Art. 115 Abs. 2 EntG möglich, im Fall des vollständigen Unterliegens von einer Parteientschädigung abzusehen (vgl. Urteil des Bundesgerichts 1E.1/2006 vom 12. April 2006 E. 10), muss dies auch zulässig sein, wenn sich der Betroffene einem Sachenentscheid durch vorbehaltlosen Rückzug des Entschädigungsbegehrens entzieht. Ein Wettschlagen der Parteikosten kann daher nicht von vornherein als bundesrechtswidrig erachtet werden. Daran vermag auch der Umstand nichts zu ändern, dass die Beschwerdeführenden, wie vorgebracht, mit ihren Rückzugserklärungen weitere unnötige Aufwendungen für alle Verfahrensbeteiligten abgewendet haben. Eine generelle Bevorteilung derjenigen Partei, die mit ihrem Verhalten eine vorzeitige Erledigung des Verfahrens herbeiführt, sieht Art. 115 EntG nicht vor und wäre im Übrigen auch nicht unproblematisch. Denn dies hätte gleichzeitig eine Schlechterstellung derjenigen Enteigneten zur Folge, die sich nicht bereit zeigen, auf einen materiellen Entscheid und damit auf die Wahrnehmung der ihnen nach dem Enteignungsgesetz zustehenden Rechte zu verzichten.</w:t>
      </w:r>
    </w:p>
    <w:p>
      <w:r>
        <w:rPr>
          <w:b/>
        </w:rPr>
        <w:t>E. 3.3</w:t>
      </w:r>
    </w:p>
    <w:p>
      <w:r>
        <w:t>Da die Regelung von Art. 115 EntG vornehmlich auf das Vorliegen eines Sachentscheids ausgerichtet ist, erscheint es gerechtfertigt, für die Kostenfolge im Rahmen eines Abschreibungsbeschlusses die Verordnung vom 10. September 1969 über Kosten und Entschädigungen im Verwaltungsverfahren (VKEV, SR 172.041.0) ergänzend heranzuziehen, soweit diese mit der besonderen Natur des enteignungsrechtlichen Verfahrens vereinbar ist (vgl. für das Verfahren vor Bundesverwaltungsgericht: Urteile des Bundesverwaltungsgerichts A-5101/2011 vom 5. März 2012 E. 8.1 und A-7434/2010 vom 5. April 2011 E. 7). Gemäss Art. 4b VKEV sind bei gegenstandslos gewordenen Verfahren die Kosten in der Regel jener Partei aufzuerlegen, deren Verhalten die Gegenstandslosigkeit bewirkt hat. Ist das Verfahren ohne Zutun der Parteien gegenstandslos geworden, so werden die Kosten aufgrund der Sachlage vor Eintritt des Erledigungsgrunds festgelegt.</w:t>
      </w:r>
    </w:p>
    <w:p>
      <w:r>
        <w:rPr>
          <w:b/>
        </w:rPr>
        <w:t>E. 4.1</w:t>
      </w:r>
    </w:p>
    <w:p>
      <w:r>
        <w:t>In analoger Anwendung von Art. 4b VKEV ist daher in erster Linie massgebend, wer den Anlass für die Gegenstandslosigkeit gesetzt hat. Die Beschwerdeführenden haben am 15. November 2010 den vorbehaltlosen Rückzug ihrer Entschädigungsbegehren erklärt. Als Beweggründe dafür führen sie die jüngsten Entwicklungen in der bundesgerichtlichen Rechtsprechung an, wie auch Prozessmüdigkeit infolge der überlangen Verfahrensdauer. Aus diesen Angaben erhellt, dass sich die Beschwerdeführenden aus verständlichen Gründen, aber gleichwohl aus freien Stücken für den Rückzug entschieden haben. Es stand dabei in ihrem Belieben, die Verfahren fortzusetzen oder sie vorzeitig durch Rückzug zu beenden. Mit den vorbehaltlosen Rückzugserklärungen haben sie den unmittelbaren Anlass für die Gegenstandslosigkeit der Verfahren gesetzt. Es ist daher statthaft, diesem Umstand bei der Kostenfolge insoweit Rechnung zu tragen, als die Beschwerdeführenden für die Parteikosten ihres eigenen Rechtsvertreters selbst aufzukommen haben. Die Vorinstanz hat ihren Ermessensspielraum demgemäss in den Abschreibungsbeschlüssen vom 4. April 2011 pflichtgemäss ausgeübt. Anders sähe es allenfalls dann aus, wenn die Gründe für den Rückzug im Verantwortungsbereich der Beschwerdegegner zu suchen wären oder wenn andere besondere Umstände in der Sache oder in der Person vorlägen, die eine Kostenverlegung zu ihren Lasten als unbillig erscheinen liessen. Solche Gründe werden vorliegend indes nicht namhaft gemacht und ergeben sich im Übrigen auch nicht aus den Akten.</w:t>
      </w:r>
    </w:p>
    <w:p>
      <w:r>
        <w:rPr>
          <w:b/>
        </w:rPr>
        <w:t>E. 4.2</w:t>
      </w:r>
    </w:p>
    <w:p>
      <w:r>
        <w:t>Soweit sich die Beschwerdeführenden dagegen auf die materielle Begründetheit ihrer Entschädigungsbegehren berufen, um ihre Forderungen nach Parteientschädigung zu begründen, erweisen sich die Ausführungen als nicht zielführend. In diesem Zusammenhang ist insbesondere darauf hinzuweisen, dass es bei der Prüfung der Kostenfolge im Rahmen eines Abschreibungsbeschlusses nicht darum gehen kann, die Prozessaussichten im Einzelnen zu prüfen und dadurch weitere Umtriebe zu verursachen. Auf dem Weg über den Kostenentscheid soll nicht ein materielles Urteil gefällt und unter Umständen der Entscheid in einer heiklen Frage präjudiziert werden (vgl. Urteil des Bundesgerichts 2C_201/2008 vom 14. Juli 2008 E. 2.3 mit weiteren Hinweisen). Bei den von den Beschwerdeführenden eingereichten Entschädigungsbegehren handelt es sich um Verfahren, die sowohl in tatsächlicher wie auch in rechtlicher Hinsicht umfangreiche Abklärungen bedingen. Aufgrund der Komplexität der Materie und der Vielzahl an Verfahren müsste folglich für jeden Einzelfall eine eingehende Sachverhaltsabklärung sowie eine materielle Prüfung der Rechtsfragen vorgenommen werden, um die Prozesschancen der einzelnen Entschädigungsbegehren abschätzen zu können. Eine solche aufwändige Prüfung ist indes bei der Kostenverlegung im Rahmen von Abschreibungsbeschlüssen nicht angezeigt. Auf die mutmasslichen Prozesschancen der nun abgeschriebenen Entschädigungsverfahren kann daher für die Regelung der Kostenfolgen nicht abgestellt werden. Sie können vorliegend kaum zuverlässig bestimmt werden. Auch aus dem in der Beschwerdeschrift angeführten Präjudiz des Bundesgerichts 1E.10/2007 vom 22. April 2008 lässt sich sodann nicht schliessen, die angefochtenen Verfügungen verletzten Art. 115 EntG. In jenem Pilotverfahren aus der Gemeinde Opfikon hat das Bundesgericht die Beschwerde teilweise gutgeheissen und eine reduzierte Parteientschädigung für das vorinstanzliche Verfahren zugesprochen. Im Hauptpunkt wurde die Beschwerde dagegen abgewiesen. In den Erwägungen führt das Bundesgericht aus, die Aussichten auf Erfolg des Entschädigungsbegehrens seien durch den Verkauf der Liegenschaft zwar geschmälert worden, was den Rückzug der Forderung hätte nahelegen können, jedoch sei die Führung des Verfahrens bis zum diesem Zeitpunkt in guten Treuen verantwortbar gewesen. Die Zusprechung einer reduzierten Parteientschädigung sei daher gerechtfertigt (Urteil des Bundesgerichts 1E.10/2007 vom 22. April 2008 E. 6). Vorliegend steht jedoch nicht die Kostenfolge eines materiellen Entscheids im Streit, sondern diejenige von Abschreibungsbeschlüssen, weshalb jene Erwägungen des Bundesgerichts für die hier zu beurteilende Sachlage nicht einschlägig sind. Entscheidrelevant bleibt daher einzig, wer die Gegenstandslosigkeit der Verfahren bewirkt hat. Die Gegenstandslosigkeit der Verfahren ist, wie in E. 4.1 ausgeführt, den Beschwerdeführenden anzulasten.</w:t>
      </w:r>
    </w:p>
    <w:p>
      <w:r>
        <w:rPr>
          <w:b/>
        </w:rPr>
        <w:t>E. 4.3</w:t>
      </w:r>
    </w:p>
    <w:p>
      <w:r>
        <w:t>Aufgrund der vorangegangenen Erwägungen und unter Berücksichtigung des Ermessensspielraums, welcher der Vorinstanz in Anwendung von Art. 115 EntG zusteht, ist es zwar nicht zwingend, aber sachlich vertretbar, die angefallenen Parteikosten der Beschwerdeführenden nicht den Enteignern, sondern direkt den Verursachern aufzuerlegen.</w:t>
      </w:r>
    </w:p>
    <w:p>
      <w:r>
        <w:rPr>
          <w:b/>
        </w:rPr>
        <w:t>E. 5.1</w:t>
      </w:r>
    </w:p>
    <w:p>
      <w:r>
        <w:t>Die Beschwerdeführenden halten der Vorinstanz ferner eine Verletzung der Rechtsgleichheit vor. Die erlassenen Verfügungen vom 4. April 2011 stünden im Widerspruch zur bisherigen Praxis. So seien bei denjenigen Entschädigungsfällen aus der Gemeinde Opfikon, die im Anschluss an die bundesgerichtliche Piloturteile durch Rückzug erledigt werden konnten, eine Parteientschädigung zugesprochen worden und dies ohne Rücksicht auf die Erfüllung der Entschädigungskriterien im Einzelfall. Dem hält die Vorinstanz entgegen, die hier zu beurteilenden Fälle beträfen die Gemeinden Rümlang, Oberglatt und Höri und seien daher hinsichtlich der Verjährungsfrage wie auch den weiteren Sachverhaltsvoraussetzungen mit denjenigen der Gemeinde Opfikon nicht direkt vergleichbar. Es erübrige sich daher auf die Parteientschädigungen der Enteignungsfälle aus der Gemeinde Opfikon näher einzugehen.</w:t>
      </w:r>
    </w:p>
    <w:p>
      <w:r>
        <w:rPr>
          <w:b/>
        </w:rPr>
        <w:t>E. 5.2</w:t>
      </w:r>
    </w:p>
    <w:p>
      <w:r>
        <w:t>Nach dem allgemeinen Grundsatz der Rechtsgleichheit im Sinne von Art. 8 Abs. 1 der Bundesverfassung vom 18. April 1999 (BV, SR 101) ist Gleiches nach Massgabe seiner Gleichheit gleich, Ungleiches nach Massgabe seiner Ungleichheit ungleich zu behandeln. Das Rechtsgleichheitsgebot ist verletzt, wenn rechtliche Unterscheidungen getroffen werden, für die ein vernünf­tiger Grund in den zu regelnden Verhältnissen nicht ersichtlich ist, oder Unterscheidungen unterlassen werden, die sich auf Grund der Verhältnisse aufdrängen (BGE 134 I 23 E. 9.1, BGE 130 V 18 E. 5.2, vgl. BGE 129 I 346 E. 6; Urteile des Bundesverwaltungsgerichts A-6154/2010 vom 21. Oktober 2011 E. 6.1 und A 300/2010 vom 8. April 2011 E. 8.2.5; vgl. auch Ulrich Häfelin/Walter Haller/Helen Keller, Schweizerisches Bundesstaatsrecht, 7. Aufl., Zürich/Basel/Genf 2008, Rz. 752 f.; Jörg Paul Müller/Markus Schefer, Grundrechte in der Schweiz, 4. Aufl., Bern 2008, S. 653 ff.).</w:t>
      </w:r>
    </w:p>
    <w:p>
      <w:r>
        <w:rPr>
          <w:b/>
        </w:rPr>
        <w:t>E. 5.3</w:t>
      </w:r>
    </w:p>
    <w:p>
      <w:r>
        <w:t>Selbst wenn den Ansprechern in den Rückzugsfällen aus der Gemeinde Opfikon praxisgemäss eine pauschale Parteientschädigung zulasten der Enteigneten zugesprochen wurde, wie von den Beschwerdeführenden vorgebracht, ist vorliegend mit Blick auf den bereits erwähnten Ermessensspielraum der zuständigen Behörde eine unzulässige Ungleichbehandlung zu verneinen. Wie die Vorinstanz in den angefochtenen Verfügungen zutreffend ausgeführt hat, präsentiert sich die Sachlage insbesondere in prozessualer Hinsicht abweichend von den Entschädigungsfällen aus der Gemeinde Opfikon. So wurden bei den Entschädigungsbegehren der Gemeinde Opfikon 18 repräsentative Verfahren ausgewählt, die die Vorinstanz als sogenannte Pilotfälle vorweg behandelt hat, während die übrigen Nicht-Pilotfälle sistiert wurden. In den nun angefochtenen Abschreibungsbeschlüssen hingegen erfolgten die Rückzüge bereits bevor die massgebende Frage der Verjährung in Bezug auf die Gemeinden Rümlang, Oberglatt und Höri rechtskräftig entschieden war. Der Verfahrensstand zum Zeitpunkt des Rückzugs unterscheidet sich daher wesentlich von den angeführten Opfikoner Fällen, weshalb eine allfällige ungleiche Behandlung schon mangels Vergleichbarkeit des Sachverhalts auszuschliessen ist.</w:t>
      </w:r>
    </w:p>
    <w:p>
      <w:r>
        <w:rPr>
          <w:b/>
        </w:rPr>
        <w:t>E. 5.4</w:t>
      </w:r>
    </w:p>
    <w:p>
      <w:r>
        <w:t>Mit dem Einwand, die Kostenverlegung der Vorinstanz verletze das Gleichbehandlungsgebot, vermögen die Beschwerdeführenden somit ebenfalls nicht durchzudringen.</w:t>
      </w:r>
    </w:p>
    <w:p>
      <w:r>
        <w:rPr>
          <w:b/>
        </w:rPr>
        <w:t>E. 6</w:t>
      </w:r>
    </w:p>
    <w:p>
      <w:r>
        <w:t>Im Lichte der ausgeführten Rechtslage entsprechen die vorinstanzlichen Kostenregelungen den gesetzlichen Vorgaben und sind nicht zu beanstanden. Es sind keine Gründe ersichtlich, die es rechtfertigen würden, in den Ermessensspielraum der Vorinstanz korrigierend einzugreifen. Die Beschwerde ist daher abzuweisen.</w:t>
      </w:r>
    </w:p>
    <w:p>
      <w:r>
        <w:rPr>
          <w:b/>
        </w:rPr>
        <w:t>E. 7</w:t>
      </w:r>
    </w:p>
    <w:p>
      <w:r>
        <w:t>Abschliessend sind die Kosten für das Beschwerdeverfahren zu verlegen. Die Kosten des Verfahrens vor dem Bundesverwaltungsgericht, einschliesslich einer Parteientschädigung an die Enteignete, haben die Enteigner zu tragen (Art. 116 Abs. 1 Satz 1 EntG). Werden die Begehren der Enteigneten ganz oder zum grösseren Teil abgewiesen, so können die Kosten auch anders verteilt werden. Unnötige Kosten trägt in jedem Fall, wer sie verursacht hat (Art. 116 Abs. 1 Satz 2 und 3 EntG). Die Beschwerdeführenden haben keine missbräuchlichen Rechtsbegehren gestellt und der Beizug einer gemeinsamen Rechtsvertretung war angezeigt. Eine Abweichung vom Grundsatz, dass die aus der Geltendmachung des Enteignungsrechts entstehenden Kosten der Enteigner trägt, rechtfertigt sich daher nicht. Dies steht auch nicht im Widerspruch zu den obigen Erwägungen, da es sich hier - im Unterschied zu den angefochtenen Verfügungen der Vorinstanz - um ein Sachurteil handelt und die Regelung der Kostenfolge des Beschwerdeverfahrens im eigenen Ermessen des Bundesverwaltungsgerichts liegt. Die Beschwerdeführenden sind deshalb trotz ihres vollumfänglichen Unterliegens im vorliegenden Verfahren von der Bezahlung der Verfahrenskosten zu befreien. Entsprechend sind die Verfahrenskosten von Fr. 2'000.- den Beschwerdegegnern als Enteigner je hälftig aufzuerlegen. Die Höhe der Parteientschädigung ist aufgrund der Akten zu bestimmen. In Anbetracht des mutmasslichen Arbeits- und Zeitaufwandes für das vorliegende Verfahren, namentlich für das Verfassen einer gemeinsamen Rechtsschrift, hält das Bundesverwaltungsgericht eine Parteientschädigung von je Fr. 500.- inkl. Auslagen und Mehrwertsteuer (Gesamtbetrag Fr. 4'000.-) für angemessen, welche den Beschwerdeführenden durch die Beschwerdegegner zu gleichen Teilen zu entrichten ist. Den Antrag der Beschwerdegegner auf Zusprechung einer Parteientschädigung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