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A-2949/2020 vom 31. August 2022</w:t>
      </w:r>
    </w:p>
    <w:p>
      <w:r>
        <w:t>Bundesverwaltungsgericht, 2022-08-31, IT</w:t>
      </w:r>
    </w:p>
    <w:p>
      <w:r>
        <w:rPr>
          <w:b/>
        </w:rPr>
        <w:t xml:space="preserve">Quelle: </w:t>
      </w:r>
      <w:r>
        <w:t>https://mcp.opencaselaw.ch/entscheid/bvger_A-2949_2020</w:t>
      </w:r>
    </w:p>
    <w:p>
      <w:r>
        <w:t>FR: TAF A-2949/2020 du 31 août 2022</w:t>
      </w:r>
    </w:p>
    <w:p>
      <w:r>
        <w:t>IT: TAF A-2949/2020 del 31 agosto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con cui l'autorità inferiore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sostiene che la domanda raggruppata italiana di assistenza amministrativa del 23 novembre 2018 andrebbe considerata come una « fishing expedition ». Egli non ritiene infatti adempiute le condizioni di applicazione della CDI CH-IT, del relativo Protocollo aggiuntivo nonché della LAAF e dell'OAAF per il fatto che la domanda raggruppata poggerebbe su di un criterio non sufficientemente dettagliato, riferendosi a un gruppo di persone di cui chiede di conoscere l'identità, anziché indicare il nome delle persone interessate. Inoltre, a mente del ricorrente né lo scritto del 3 febbraio 2014 né quello del 20 febbraio 2015 sarebbero conformi ai criteri previsti per la presentazione di domande raggruppate dagli art. 2 cpv. 2 lett. c e art. 4 dell'Accordo amministrativo del 2 marzo 2017, dal momento che in essi non era contenuto alcun avviso riguardante un congelamento del conto, in caso di mancata prova della conformità fiscale. Il ricorrente lamenta infine una violazione del principio della sussidiarietà in quanto l'autorità fiscale italiana non avrebbe svolto alcuna indagine interna e avrebbe formulato di conseguenza una domanda d'assistenza amministrativa in modo lacunoso (cfr. motivazione al ricorso 5 giugno 2020, pp. 11-15). Tali censure non possono che essere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ritiene - contrariamente a quanto stabilito dal Tribunale federale - che l'istanza non sia conforme alla CDI CH-IT o all'Accordo amministrativo del 2 marzo 2017 (per quanto concerne il rispetto delle condizioni in esso contenute da parte della domanda di assistenza amministrativa, in particolare per quanto attiene al contenuto degli scritti inviati dalla banca ai clienti, si cfr. sentenza TF 2C_73/2021 consid. 5). D'altro canto, come sancito dal Tribunale federale nella citata sentenza di principio, poco importa se la domanda raggruppata menzionasse in un primo tempo la lettera del 3 febbraio 2014, il cui invio effettivo ai clienti della banca non ha potuto essere dimostrato: il riferimento a tale lettera e la ricezione della stessa da parte del ricorrente, non ha infatti alcuna conseguenza sull'ammissibilità della domanda raggruppata (sentenza TF 2C_73/2021 consid. 4.3.2).</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5.1</w:t>
      </w:r>
    </w:p>
    <w:p>
      <w:r>
        <w:t>Nel suo gravame il ricorrente sostiene di non aver mai ricevuto gli scritti del 3 febbraio 2014 e del 20 febbraio 2015 relativi alle nuove disposizioni per la clientela italiana con residenza fiscale in Italia, né di averne preso conoscenza mediante inserimento dello stesso nel dossier « Posta a trattenere ». Riguardo a tale circostanza egli sostiene di non essersi più recato in banca dal 2012 e contesta di essere stato messo a conoscenza del tenore e delle conseguenze di tale scritto, non risultando dalle dichiarazioni apposte tramite note di B._______ sul documento 18.2 - il cui valore probatorio è per altro contestato - a quale dei tre cointestatari del conto tali informazioni siano state eventualmente fornite. Così stando le cose, il ricorrente non ritiene pertanto di rientrare nella cerchia di persone toccate dalla domanda di assistenza amministrativa italiana (cfr. ricorso 5 giugno 2020, pp. 12-14). Tale argomentazione non può essere seguita dal Tribunale adito.</w:t>
      </w:r>
    </w:p>
    <w:p>
      <w:r>
        <w:rPr>
          <w:b/>
        </w:rPr>
        <w:t>E. 5.2</w:t>
      </w:r>
    </w:p>
    <w:p>
      <w:r>
        <w:t>Al riguardo il Tribunale adito rileva innanzitutto che, da un esame dell'incarto - e meglio dalla documentazione fornita dalla banca B._______/C._______ (cfr. atto n. 18.2 dell'incarto prodotto dall'autorità inferiore su chiave USB [di seguito: inc. AFC]) - risulta chiaramente che durante il periodo interessato dalla predetta domanda raggruppata (ossia dal 23 febbraio 2015 al 31 dicembre 2016), il ricorrente era contitolare di un conto bancario presso la banca B._______/C._______, sul quale erano depositati il 28 febbraio 2015 fr. 707'416.47. È inoltre indubbio che ai titolari del conto in parola sia stata notificata la lettera del 20 febbraio 2015, che informava delle importanti restrizioni dei servizi bancari applicate dalla banca in caso di mancata prova della conformità fiscale del proprio conto presso la predetta banca (cfr. atto n. 18.2 inc. AFC). Dalla documentazione bancaria risulta infatti che i titolari del conto - tutti con firma individuale sullo stesso - avevano dato ordine alla banca di trattenere la corrispondenza, consci del fatto che « Tutte le comunicazioni trattenute in questo modo saranno considerate come debitamente ricevute dal Titolare del conto. La data riportata sul rispettivo documento sarà considerata come la data di ricezione da parte del Titolare del conto » (cfr. Domanda di apertura conto / deposito del 6 aprile 2011 [atto n. 18.2 pag. 2 inc. AFC]). Oltre a ciò dall'incarto risulta che il consulente bancario incaricato aveva incontrato il 14 ottobre 2015 i titolari del conto (« i clienti ») in un albergo in Italia dove aveva illustrato loro i possibili rischi di una mancata adesione alla Voluntary disclosure, prendendo atto che questi ultimi, ancora indecisi sul da farsi, si sarebbero presi un periodo di riflessione. Da un'ulteriore nota emerge che il 22 dicembre 2015 il cliente (non è dato sapere se tutti e tre o solo uno e se del caso quale) si è recato in banca per comunicare di non aderire alla Voluntary disclosure e per ordinare il trasferimento dei suoi averi presso un'altra piazza finanziaria, estinguendo in tal modo il conto (cfr. atto n. 18.2 pag. 6 inc. AFC). In tali circostanze vi è motivo di presumere che il ricorrente abbia avuto conoscenza di detto scritto, nonostante le contestazioni in tal senso mosse dinnanzi all'AFC e in sede ricorsuale. D'altro canto, quand'anche si volesse tenere conto dell'asserzione del ricorrente - secondo cui non vi è stata alcuna notifica dello scritto del 20 febbraio 2015 - a fronte delle importanti e immediate restrizioni al conto di cui quest'ultimo era contitolare, è poco credibile e quindi poco plausibile che quest'ultimo non abbia chiesto alla banca o a uno o all'altro dei cointestatari a cui tali informazioni erano state fornite di render conto di tali limitazioni. Come visto, il Tribunale federale ha già avuto modo di considerare la lettera del 20 febbraio 2015 idonea a fondare il modello di comportamento alla base della domanda raggruppata (cfr. considd. 4.2.1.2-4.2.1.3 del presente giudizio). Ha inoltre ribadito che quand'anche il tenore della lettera inviata ai clienti della banca non corrisponda esattamente a quanto indicato nella richiesta di assistenza amministrativa presentata dall'autorità richiedente italiana, ciò non costituisce un elemento suscettibile di escludere il ricorrente dal modello di comportamento descritto nella domanda raggruppata, il quale serviva per l'appunto a limitare la portata della domanda a quei clienti che non erano in regola con il fisco italiano (cfr. sentenza TF 2C_73/2021 consid. 6.2).</w:t>
      </w:r>
    </w:p>
    <w:p>
      <w:r>
        <w:rPr>
          <w:b/>
        </w:rPr>
        <w:t>E. 5.3</w:t>
      </w:r>
    </w:p>
    <w:p>
      <w:r>
        <w:t>Secondo quanto giustamente indicato dall'autorità inferiore (cfr. decisione impugnata, consid. 8), il ricorrente non ha reagito a detta lettera comprovando la sua conformità fiscale, sicché egli rientra nel modello di comportamento descritto nella domanda raggruppata. Quest'ultimo non ha infatti fornito alla banca alcuna prova riguardo alla conformità fiscale del conto bancario alla normativa italiana e nemmeno asserisce di averlo fatto in seguito. Egli sostiene che agli atti non emerge nessun elemento che dimostri la non conformità fiscale del conto oggetto di trasmissione. A suo modo di vedere, per quanto a conoscenza dell'AFC, gli altri contitolari del conto avrebbero già potuto procedere alla regolarizzazione dello stesso, operazione che avrebbe di conseguenza giovato pure a lui. Orbene, tale affermazione - per altro smentita dalla documentazione bancaria agli atti, dalla quale emerge che i clienti avrebbero deciso in data 22 dicembre 2015 di non aderire alla Voluntary disclosure e di trasferire gli averi del conto presso un'altra piazza finanziaria - risulta non soltanto ininfluente ai fini del presente giudizio, ma pure errata da un punto di vista sostanziale. In questa sede, è irrilevante sapere se il ricorrente avrebbe potuto essere imposto o meno sugli averi del conto presso B._______, né se la regolarizzazione degli averi di cui egli disponeva prima dell'azzeramento del saldo avrebbe modificato la sua situazione fiscale in Italia. La concessione dell'assistenza amministrativa - è bene rammentarlo -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Ciò che non risulta essere il caso, né tantomeno il ricorrente lo pretende, nell'evenienza concreta. Ne consegue che si deve dunque concludere che egli rientra nel modello di comportamento in oggetto e che la trasmissione delle informazioni è ammissibile.</w:t>
      </w:r>
    </w:p>
    <w:p>
      <w:r>
        <w:rPr>
          <w:b/>
        </w:rPr>
        <w:t>E. 6</w:t>
      </w:r>
    </w:p>
    <w:p>
      <w:r>
        <w:t>Nel proprio gravame il ricorrente lamenta infine una violazione del diritto di essere sentito, in quanto con il proprio comportamento l'AFC gli avrebbe negato la possibilità di pronunciarsi con cognizione di causa per scritto sulla prevista decisione di trasmissione delle informazioni e/o di comunicare proposte complementari. Al riguardo da un lato l'insorgente sostiene che non gli sarebbe stata trasmessa la password per avere accesso agli atti e che inoltre la chiavetta USB trasmessa sarebbe stata « danneggiata » e illeggibile, dall'altro che la richiesta di sospensione della procedura e tutte le istanze di riattribuzione del termine per potersi esprimere nel merito - lo scritto dell'11 marzo 2020 non potendo essere considerata una presa di posizione bensì una comunicazione interlocutoria - sarebbero state negate, impedendogli di fatto la possibilità di esprimersi (cfr. ricorso 5 giugno 2020, pp. 10-11).</w:t>
      </w:r>
    </w:p>
    <w:p>
      <w:r>
        <w:rPr>
          <w:b/>
        </w:rPr>
        <w:t>E. 6.1.1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6.1.2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111 Ia 273 consid. 2b), a condizione però che la violazione non sia di particolare gravità (DTF 126 I 68 consid. 2 pag. 72).</w:t>
      </w:r>
    </w:p>
    <w:p>
      <w:r>
        <w:rPr>
          <w:b/>
        </w:rPr>
        <w:t>E. 6.1.3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6.2.1</w:t>
      </w:r>
    </w:p>
    <w:p>
      <w:r>
        <w:t>A tal proposito il Tribunale rileva che già in sede di istruttoria dinnanzi all'AFC il ricorrente era rappresentato dalla propria legale. Quest'ultima si era annunciata all'amministrazione come rappresentate di A._______ con scritto del 23 dicembre 2019, dunque ben prima della limitazione dell'accesso in Svizzera previsto dall'Ordinanza 2 Covid-19 (RS 818.101.24) e della chiusura delle frontiere con la Svizzera decretata dall'Italia a partire dal 26 marzo 2020 e perdurata fino al 15 giugno 2020, dichiarando di non acconsentire alla trasmissione delle informazioni. Con scritto del 28 febbraio 2020 (notificato alla rappresentante del ricorrente il giorno successivo) l'autorità inferiore ha accordato l'accesso agli atti in forma elettronica e dato la possibilità di prendere posizione entro 10 giorni sulla prevista trasmissione delle informazioni. Con presa di posizione dell'11 marzo 2020 la patrocinatrice del ricorrente ha fatto notare di non essere riuscita ad aprire la chiavetta USB, chiedendo l'invio della password. Ha inoltre dichiarato che il provvedimento del 28 febbraio 2020 è immotivato e ribadito la propria opposizione alla trasmissione degli atti all'autorità italiana richiedente. Con messaggio di posta elettronica del 16 marzo 2020 l'AFC ha evaso la richiesta di password, rilevando che normalmente essa giunge prima della presa di posizione della persona interessata. Il 24 marzo 2020 la rappresentante del ricorrente ha dapprima comunicato di non essere in grado di leggere i file contenuti nella chiavetta USB e con un ulteriore messaggio di posta elettronica di medesima data ha chiesto di tenere in sospeso ogni termine assegnato. Tramite e-mail del 25 marzo 2020 l'AFC ha fornito delle indicazioni per facilitare la lettura dei documenti contenuti nella chiave USB ed ha chiarito che allo stato attuale non era pendente alcun termine, sottolineando che le argomentazioni pervenute tramite scritto dell'11 marzo 2020 sarebbero state prese in conto nella decisione finale. Con messaggio di posta elettronica del 26 marzo 2020, la rappresentante del ricorrente, precisando di aver inoltrato l'11 marzo 2020 delle osservazioni a titolo cautelativo, ha reiterato la richiesta di sospensione dei termini e la loro riassegnazione una volta terminato lo stato di necessità dovuto alla pandemia da Covid-19 ed avuto accesso agli atti dell'incarto. Con e-mail del 26 marzo 2020, l'AFC ha rinviato a quanto già precisato nella precedente comunicazione, adducendo a futura memoria, che la chiavetta USB trasmessa non era danneggiata.</w:t>
      </w:r>
    </w:p>
    <w:p>
      <w:r>
        <w:rPr>
          <w:b/>
        </w:rPr>
        <w:t>E. 6.2.2</w:t>
      </w:r>
    </w:p>
    <w:p>
      <w:r>
        <w:t>Da quanto precede risulta dunque che il ricorrente è stato correttamente reso edotto sulle informazioni che l'autorità inferiore intende sottoporre all'autorità richiedente, sia in maniera generale con la pubblicazione nel Foglio federale del 10 dicembre 2019, sia puntualmente e personalmente con la comunicazione del 28 febbraio 2020 e infine con la decisione impugnata. A seguito della comunicazione del 28 febbraio 2020, unitamente alla quale gli è stata trasmessa la chiavetta USB e fissato un termine di dieci giorni per prendere posizione, il ricorrente è stato posto in condizione di esprimersi in maniera completa e con cognizione di causa sulla fattispecie. Al riguardo va rilevato che il fatto, addotto dal ricorrente, di non aver potuto consultare gli atti contenuti nella chiavetta USB entro il termine fissato, a ben vedere, non è imputabile all'amministrazione, bensì presumibilmente ad una disattenzione della patrocinatrice del ricorrente. Nello scritto in parola l'AFC ha infatti invitato il ricorrente (come è sua prassi fare in tutti i numerosi casi analoghi al presente) a confermare « la ricezione della chiave USB a/l'indirizzo e-mail sei@estv.admin.ch indicando il nostro riferimento 631.1-2018-IT-0002-0105-001650_x4b. In seguito, le invieremo via email la password necessaria per accedere ai documenti ». A tale invito la rappresentante del ricorrente non ha tuttavia dato seguito, inoltrando direttamente la presa di posizione dell'11 marzo 2020 - malgrado non avesse ancora richiesto la password - senza presentare alcuna richiesta di proroga né indicare, contrariamente a quanto asserito in seguito, che si trattava unicamente di una comunicazione interlocutoria. Preso atto delle osservazioni dell'11 marzo 2020, l'AFC ha quindi inoltrato la password alla rappresentante del ricorrente, che ha dapprima lamentato dei problemi tecnici, in seguito delle difficoltà legate alla pandemia di Covid-19 per chiedere la sospensione della procedura e la riassegnazione dei termini.</w:t>
      </w:r>
    </w:p>
    <w:p>
      <w:r>
        <w:rPr>
          <w:b/>
        </w:rPr>
        <w:t>E. 6.2.3</w:t>
      </w:r>
    </w:p>
    <w:p>
      <w:r>
        <w:t>Da quanto sopra esposto emerge che l'amministrazione non ha concesso la riassegnazione del termine fissato il 28 febbraio 2020 né ha sospeso la procedura in quanto il ricorrente si sarebbe già espresso nel merito con presa di posizione dell'11 marzo 2020. Al riguardo va tuttavia rilevato che, seppur per svista della sua patrocinatrice - che non ha confermato la ricezione dello scritto come indicatogli e pertanto non ha ricevuto la password - al momento della presentazione delle osservazioni succitate il ricorrente non aveva ancora potuto consultare la chiavetta USB. In simili condizioni indipendentemente dalle singole responsabilità che hanno causato un accesso agli atti tardivo, sarebbe risultato adeguato "riassegnare" un breve termine per prendere posizione dopo l'accesso agli atti. Come detto le osservazioni dell'11 marzo 2020 non potevano essere considerate esposte con cognizione di causa dall'AFC, malgrado non contenessero una richiesta di proroga e fossero state trasmesse entro il termine. Malgrado ciò la questione se con tale comportamento l'AFC ha violato il diritto di essere sentito non necessita di essere risolta. Un' eventuale violazione va infatti considerata sanata nell'ambito della presente procedura. A seguito dell'emanazione della decisione impugnata il ricorrente ha infatti avuto modo di esprimersi compiutamente dinnanzi a questo tribunale, dapprima con il ricorso del 5 giugno 2020, in seguito con lo scritto dell'8 aprile 2022 con cui ha comunicato l'intenzione di mantenere il ricorso, infine con la replica dell'8 agosto 2022. Il ricorrente avrebbe inoltre avuto la possibilità di trasmettere in ogni momento ulteriori osservazioni spontanee a questo Tribunale.</w:t>
      </w:r>
    </w:p>
    <w:p>
      <w:r>
        <w:rPr>
          <w:b/>
        </w:rPr>
        <w:t>E. 6.2.4</w:t>
      </w:r>
    </w:p>
    <w:p>
      <w:r>
        <w:t>Questo Tribunale rileva infine che neppure le contestazioni legate all'impossibilità di conferire con il proprio legale possono essere seguite in questa sede. In più occasioni infatti e non da ultimo nell'ambito della procedura dinnanzi a questa Corte l'insorgente disponeva della facoltà di conferire liberamente e personalmente con il proprio legale, indipendentemente dalla chiusura delle frontiere durante il periodo di pandemia da Covid-19 (momento nel quale restavano comunque possibili le videoconferenze o le comunicazioni telefoniche). Sin dall'avvio della procedura amministrativa dinnanzi all'AFC, nel tardo 2019, al ricorrente erano noti i documenti che avrebbe dovuto produrre a comprova del rispetto dei propri obblighi fiscali nei confronti dell'autorità fiscale italiana, onde evitare la trasmissione a quest'ultima di informazioni sul conto a lui intestato presso B._______. Non da ultimo, come rettamente osservato dall'amministrazione, è opportuno rammentare che tra il 2020 e il 2021 il Consiglio federale non ha emanato alcuna disposizione o misura avente per oggetto la procedura di assistenza amministrativa in materia fiscale, il cui svolgimento è pertanto rimasto invariato durante tutto il periodo pandemico.</w:t>
      </w:r>
    </w:p>
    <w:p>
      <w:r>
        <w:rPr>
          <w:b/>
        </w:rPr>
        <w:t>E. 6.3</w:t>
      </w:r>
    </w:p>
    <w:p>
      <w:r>
        <w:t>In tali circostanze la censura di violazione del diritto di essere sentito non risulta pertanto meritevole di tutela.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