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A-2929/2020 vom 31. Oktober 2022</w:t>
      </w:r>
    </w:p>
    <w:p>
      <w:r>
        <w:t>Bundesverwaltungsgericht, 2022-10-31, IT</w:t>
      </w:r>
    </w:p>
    <w:p>
      <w:r>
        <w:rPr>
          <w:b/>
        </w:rPr>
        <w:t xml:space="preserve">Quelle: </w:t>
      </w:r>
      <w:r>
        <w:t>https://mcp.opencaselaw.ch/entscheid/bvger_A-2929_2020</w:t>
      </w:r>
    </w:p>
    <w:p>
      <w:r>
        <w:t>FR: TAF A-2929/2020 du 31 octobre 2022</w:t>
      </w:r>
    </w:p>
    <w:p>
      <w:r>
        <w:t>IT: TAF A-2929/2020 del 31 ottobre 2022</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dei ricorrenti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Prozessieren vor dem Bundesverwaltungsgericht, 3a ed. 2022,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E.a e E.b).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 4 maggio 2020 dell'autorità inferiore, con cui ha accolto la domanda raggruppata italiana di assistenza amministrativa del 23 novembre 2018, per quanto concerne i qui ricorrenti. In tale contesto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basa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formulate.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ampia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estenderne, né restringerne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ammessa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si applica,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questo Tribunale rileva come in concreto la domanda raggruppata italiana di assistenza amministrativa del 23 novembre 2018, alla base della presente procedura di ricorso, sia già stata oggetto - come detto (cfr. fatti, sub lett. E) - della sentenza pilota del TAF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dai ricorrenti in relazione con degli elementi su cui il Tribunale federale non si è pronunciato nella predetta sentenza 2C_73/2021, possono essere, di principio, ancora esaminate in dettaglio dal TAF. Per quanto attiene alle censure già evase dal Tribunale federale, questo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dei ricorrenti,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corrisponde altresì a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B._______/C._______);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 TAF,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federale rileva come la domanda raggruppata indichi che qui interessati sono i cosiddetti contribuenti italiani recalcitranti, ovvero quei contribuenti italiani che durante il periodo fiscale interessato erano titolari di uno o più conti presso la banca B._______/C._______, domiciliati o residenti in Italia e non hanno reagito alla lettera inviata da detta banca che 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B._______/C._______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per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B._______, ora C._______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B._______/C._______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B._______/C._______,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B._______/C._______ (minaccia di restrizioni all'utilizzo del conto) che non corrisponde esattamente a quanto esposto nella predetta domanda raggruppata (minaccia di chiusura forzata del conto), il Tribunale federale ha confermato quanto stabilito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B._______/C._______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4.2.4</w:t>
      </w:r>
    </w:p>
    <w:p>
      <w:r>
        <w:t>Ora, nel loro gravame, i ricorrenti contestano che la domanda raggruppata italiana del 23 novembre 2018 si possa fondare sulla Roadmap e sull'Accordo amministrativo come preteso dall'autorità richiedente, non rientrando tali testi nella normativa internazionale applicabile per mancanza di fondamento democratico. Essi sollevano inoltre una violazione del principio della buona fede vigente nelle relazioni internazionali non avendo l'Italia rispettato i propri obblighi derivanti dalla citata Roadmap (e segnatamente la cancellazione della Svizzera dalle blacklists italiane e l'accesso agevolato al mercato italiano per gli istituti finanziari elvetici), motivo per cui la richiesta di assistenza amministrativa andrebbe dichiarata irricevibile. I ricorrenti censurano pure una violazione del principio di sussidiarietà, non avendo l'autorità richiedente sufficientemente acclarato la fattispecie prima di trasmettere la domanda raggruppata. In particolare, non sarebbe stata avviata alcuna procedura fiscale in Italia nei loro confronti e, ad ogni modo, le autorità italiane sarebbero già in possesso delle informazioni richieste tramite la domanda raggruppata in esame in quanto essi hanno trasferito i propri fondi presso una banca in (...), ossia un paese UE che ha già aderito a tutti gli standard di scambio automatico di informazioni. A loro modo di vedere inoltre la richiesta italiana rappresenta una fishing expedition. Da un lato, l'autorità richiedente avrebbe omesso di comprovare sufficientemente i sospetti di evasione fiscale, non essendo a tal proposito possibile fondarsi unicamente sui dati estrapolati dalle procedure di collaborazione fiscale degli anni precedenti o sull'assenza di reazioni da parte dei ricorrenti alla lettera del 20 febbraio 2015. Dall'altro lato, la lettera in esame prevedeva unicamente una limitata operatività dei conti ma non la loro chiusura forzata e non comportava alcun obbligo legale di agire per i titolari delle relazioni, pertanto essa non è atta a fungere da criterio di delimitazione di un modello comportamentale nell'ambito di una domanda raggruppata. Infine, considerano leso il principio della buona fede pure nella misura in cui la lettera del 3 febbraio 2014 allegata alla domanda di assistenza amministrativa da parte dell'autorità richiedente non sarebbe mai stata recapitata.</w:t>
      </w:r>
    </w:p>
    <w:p>
      <w:r>
        <w:rPr>
          <w:b/>
        </w:rPr>
        <w:t>E. 4.2.5</w:t>
      </w:r>
    </w:p>
    <w:p>
      <w:r>
        <w:t>Le censure sollevate non possono che essere respinte. Gli argomenti addotti dai ricorrenti circa l'ammissibilità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infatti la predetta domanda raggruppata in quanto tale che è stata ritenuta ammissibile dal Tribunale federale. Al riguardo con la menzionata sentenza l'Alta Corte ha già chiarito che la legittimità della domanda raggruppata deve essere valutata esclusivamente sulla base della CDI CH-IT e del relativo Protocollo aggiuntivo. L'Accordo amministrativo - poco importa sapere se sia o meno "vincolante" - cosi come la Roadmap (o altri strumenti accessori) non possono contraddire lo spirito e gli scopi della CDI CH-IT su cui fondano, trattandosi tuttalpiù di strumenti di interpretazione. Pertanto le persone interessate dalla richiesta di informazioni non possono dedurre alcunché da tali strumenti per opporsi alla domanda raggruppata italiana, avendola il Tribunale federale dichiarata conforme alla CDI CH-IT e al relativo Protocollo aggiuntivo (v. sentenza del TF 2C_73/2021 del 27 dicembre 2021 consid. 5.4). l ricorrenti non possono dunque essere seguiti allorquando ritengono la domanda di informazioni inammissibile in quanto contiene rinvii a tali testi (cfr. in particolare il consid. 3.1.2 del presente giudizio). Per quel che invece concerne la censura relativa alla buona fede dello Stato richiedente sia in relazione agli impegni che egli avrebbe assunto in base alla Roadmap e poi non rispettato, sia in merito allo scritto del 3 febbraio 2014, è qui sufficiente rinviare - da un lato - a quanto esposto qui sopra in merito alle contestazioni fondate sulla Roadmap o sull'Accordo amministrativo e - dall'altro - al consid. 7 della menzionata sentenza del TF 2C_73/2021, in cui l'Alta Corte ha già stabilito che non vi sono indizi atti a far credere che la richiesta di assistenza amministrativa in esame sia fondata su atti illeciti o che la lettera del 3 febbraio 2014 sia un falso creato ad hoc dall'autorità richiedente (v. anche consid. 4.2.2 del presente giudizio). Inoltre, come sancito dal Tribunale federale nella citata sentenza di principio, poco importa se la domanda raggruppata menzionasse in un primo tempo la lettera del 3 febbraio 2014, il cui invio effettivo ai clienti della banca non ha potuto essere dimostrato: il riferimento a tale lettera e la mancata ricezione della stessa da parte dei ricorrenti, non ha infatti alcuna conseguenza sull'ammissibilità della domanda raggruppata in sé (sentenza TF 2C_73/2021 consid. 4.3.2). Il Tribunale federale ha pure stabilito che in concreto non vi è motivo di dubitare che il principio della sussidiarietà non sia stato rispettato dall'autorità richiedente ed i ricorrenti non apportano nuovi elementi a tal proposito, non avendo segnatamente comprovato né di aver trasferito i propri fondi su un conto bancario in (...) intestato a loro nome, né che tale relazione sia effettivamente oggetto di uno scambio automatico di informazioni con le autorità italiane. Tale censura va pertanto respinta (v. consid. 3.6 del presente giudizio e consid. 8 della sentenza del TF 2C_73/2021 del 27 dicembre 2021). Infine, va altresì respinta la censura di ricerca indiscriminata di prove avendo il Tribunale federale già confermato in modo qui materialmente vincolante che la domanda raggruppata italiana di assistenza amministrativa del 23 novembre 2018 non costituisce una « fishing expedition » in quanto si fonda su sufficienti sospetti che le persone appartenenti al gruppo in questione non abbiano rispettato i propri obblighi fiscali e che le informazioni richieste adempiono la condizione della rilevanza verosimile (per i dettagli vedi consid. 4.2 del presente giudizio con rinvii).</w:t>
      </w:r>
    </w:p>
    <w:p>
      <w:r>
        <w:rPr>
          <w:b/>
        </w:rPr>
        <w:t>E. 5.1</w:t>
      </w:r>
    </w:p>
    <w:p>
      <w:r>
        <w:t>Constatata l'ammissibilità della domanda raggruppata italiana di assistenza amministrativa del 23 novembre 2018, occorre ancora stabilire se i ricorrenti rientrano o meno nel modello di comportamento (lecitamente) ivi descritto dall'autorità richiedente italiana.</w:t>
      </w:r>
    </w:p>
    <w:p>
      <w:r>
        <w:rPr>
          <w:b/>
        </w:rPr>
        <w:t>E. 5.2</w:t>
      </w:r>
    </w:p>
    <w:p>
      <w:r>
        <w:t>Al riguardo il Tribunale adito rileva innanzitutto che da un esame dell'incarto - e meglio dalla documentazione fornita dalla banca B._______/C._______ (cfr. doc. 18 dell'incarto prodotto dall'autorità inferiore su chiave USB [di seguito: inc. AFC]) - e come rimasto incontestato risulta che durante il periodo interessato dalla predetta domanda raggruppata (ossia dal 23 febbraio 2015 al 31 dicembre 2016) i ricorrenti erano domiciliati in Italia ed erano titolari di un conto bancario cointestato presso la banca B._______/C._______, sul quale erano depositati il 28 febbraio 2015 CHF (...) e che è poi stato estinto nel corso del 2015. È inoltre incontestato che gli sia stata notificata la lettera del 20 febbraio 2015, che informava delle importanti restrizioni dei servizi bancari applicate in caso di mancata prova della conformità fiscale del proprio conto presso la predetta banca (cfr. consid. 90 e segg. del ricorso, nonché doc. 18.2 inc. AFC). Ad ogni buon conto i ricorrenti avevano impostato il fermo posta in banca e quest'ultima ha attestato che essi dovevano essere a conoscenza dello scritto in questione in quanto il 27 febbraio 2015 si sono recati presso l'istituto di credito per esprimere la propria delusione nei confronti dell'agire della banca e la volontà di chiudere la relazione e trasferire i fondi presso un'altra piazza finanziaria UE (cfr. doc. 18.2 inc. AFC). Infine, dagli atti all'incarto - e come peraltro giustamente indicato dall'autorità inferiore (cfr. decisione impugnata, consid. 8) - risulta che i ricorrenti non hanno reagito a detta lettera fornendo alla banca la prova della conformità alla normativa fiscale italiana. Ciò che non viene peraltro neppure sollevato o contestato dagli interessati. A tal proposito, essi sostengono tuttavia che la relazione in questione è stata estinta a seguito del trasferimento dei fondi su di un conto a loro cointestato presso un istituto di credito (...) e che pertanto, essendo quest'ultima una relazione soggetta a scambio automatico dei dati, non vi può essere né sospetto di evasione fiscale, né necessità di trasmettere alle autorità italiane le informazioni relative al conto in precedenza detenuto presso B._______, non trattandosi di informazioni "verosimilmente rilevanti". Ora, questo Tribunale osserva che dalla documentazione bancaria relativa agli interessati risulta che essi avrebbero dichiarato di voler "regolarizzare" i fondi depositati presso B._______ tramite un istituto bancario estero, estinguendo il conto senza produrre alcuna prova di aver dichiarato i propri averi in patria. Sussistono dunque sospetti concreti che i ricorrenti non abbiano dichiarato i fondi e neppure intendessero farlo. Da questo punto di vista, non può di certo essere considerata una prova sufficiente di regolarizzazione una semplice allegazione di parte - peraltro neppure comprovata - di aver trasferito i fondi su un conto estero oggetto di scambio automatico dei dati. In questa sede, è in ogni caso irrilevante sapere se i ricorrenti avrebbero potuto o dovuto essere imposti o meno sugli averi del conto presso B._______, né se la regolarizzazione degli averi di cui essi disponevano avrebbe modificato la loro situazione fiscale in Italia. La concessione dell'assistenza amministrativa non dipende infatti dalla questione se i ricorrenti abbiano soggettivamente voluto o meno regolarizzare i propri averi detenuti in Svizzera, né dalla situazione patrimoniale del conto di cui erano titolari durante il periodo oggetto della domanda, bensì unicamente dalla questione se essi abbiano oggettivamente fornito alla banca la prova di detta regolarizzazione nel termine impartito (cfr. consid. 3.3.1). Ciò che non risulta essere il caso, né tantomeno i ricorrenti lo pretendono, nell'evenienza concreta. Ne consegue che si deve dunque concludere che essi rientrano nel modello di comportamento in oggetto e che la trasmissione delle informazioni è ammissibile.</w:t>
      </w:r>
    </w:p>
    <w:p>
      <w:r>
        <w:rPr>
          <w:b/>
        </w:rPr>
        <w:t>E. 6.1</w:t>
      </w:r>
    </w:p>
    <w:p>
      <w:r>
        <w:t>In conclusione, lo scrivente Tribunale deve constatare che la domanda raggruppata italiana di assistenza amministrativa del 23 novembre 2018 adempie tutti i requisiti formali e materiali alla base della sua ammissibilità. Nella misura in cui i qui ricorrenti rientrano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dai ricorrenti nel loro gravame.</w:t>
      </w:r>
    </w:p>
    <w:p>
      <w:r>
        <w:rPr>
          <w:b/>
        </w:rPr>
        <w:t>E. 6.2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Tenuto conto dell'esistenza di diverse concezioni in ordine alla portata del principio di specialità sia sul piano nazionale che internazionale, in particolare sulla sua componente personale, è qui opportuno che l'autorità inferiore informi espressamente l'autorità richiedente italiana in ordine alle restrizioni d'uso delle informazioni trasmesse (cfr. consid. 3.5 del presente giudizio; parimenti sentenza del TAF A-5309/2019 del 3 dicembre 2020 consid. 5.6). L'autorità inferiore dovrà dunque precisare e riferire all'autorità richiedente italiana quanto sancito al punto n. 2 del dispositivo del presente giudizio.</w:t>
      </w:r>
    </w:p>
    <w:p>
      <w:r>
        <w:rPr>
          <w:b/>
        </w:rPr>
        <w:t>E. 6.3</w:t>
      </w:r>
    </w:p>
    <w:p>
      <w:r>
        <w:t>In definitiva, la decisione impugnata va dunque confermata e il ricorso integralmente respinto, con le precisazioni all'attenzione dell'autorità inferiore di cui al consid. 6.2 circa il principio di specialità.</w:t>
      </w:r>
    </w:p>
    <w:p>
      <w:r>
        <w:rPr>
          <w:b/>
        </w:rPr>
        <w:t>E. 7</w:t>
      </w:r>
    </w:p>
    <w:p>
      <w:r>
        <w:t>In considerazione dell'esito della lite, giusta l'art. 63 cpv. 1 PA, le spese di procedura sono poste a carico dei ricorrenti qui integralmente soccombenti (cfr. art. 1 segg. del regolamento del 21 febbraio 2008 sulle tasse e sulle spese ripetibili nelle cause dinanzi al Tribunale amministrativo federale [TS-TAF, RS 173.320.2]). Nella fattispecie esse sono stabilite in CHF 5'000.- (cfr. art. 4 TS-TAF), importo che verrà detratto interamente dall'anticipo spese di CHF 5'000.- da loro versato a suo tempo. Non vi sono poi i presupposti per l'assegnazione ai ricorrenti di indennità a titolo di spese ripetibili (cfr.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