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A-2927/2020 vom 9. November 2022</w:t>
      </w:r>
    </w:p>
    <w:p>
      <w:r>
        <w:t>Bundesverwaltungsgericht, 2022-11-09, IT</w:t>
      </w:r>
    </w:p>
    <w:p>
      <w:r>
        <w:rPr>
          <w:b/>
        </w:rPr>
        <w:t xml:space="preserve">Quelle: </w:t>
      </w:r>
      <w:r>
        <w:t>https://mcp.opencaselaw.ch/entscheid/bvger_A-2927_2020</w:t>
      </w:r>
    </w:p>
    <w:p>
      <w:r>
        <w:t>FR: TAF A-2927/2020 du 9 novembre 2022</w:t>
      </w:r>
    </w:p>
    <w:p>
      <w:r>
        <w:t>IT: TAF A-2927/2020 del 9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dell'11 maggio 2020 dell'autorità inferiore, con cui quest'ultima ha accolto la domanda raggruppata italiana di assistenza amministrativa del 23 novembre 2018, per quanto concerne la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dalla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della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la ricorrente contesta l'ammissibilità della domanda di assistenza amministrativa 23 novembre 2018 per i seguenti motivi. Innanzitutto la ricorrente sostiene che lo scritto della banca 3 febbraio 2014 posto a fondamento della predetta domanda di assistenza - così come quello del 20 febbraio 2015, che si è poi rivelato essere quello inviato ai clienti della banca - non menzionerebbe la chiara richiesta per i clienti di consegnare la prova della regolarità fiscale e nemmeno annuncerebbe quale conseguenza della mancata prova di tale regolarità la chiusura forzata della relazione bancaria. L'AFC non avrebbe poi dimostrato che la comunicazione del 20 febbraio 2015 - così come quella del 3 febbraio 2014 - sia effettivamente stata inviata alla ricorrente e che questa ne fosse a conoscenza. In sintesi, la ricorrente sostiene non aver mai ricevuto una comunicazione che rappresenti il contesto fattuale sul quale poggia la richiesta di assistenza. La domanda raggruppata dell'autorità italiana celerebbe - visto quanto precedentemente esposto - una ricerca indiscriminata di prove. A mente della ricorrente vi sarebbe poi una violazione del principio della buona fede e di quello dell'affidamento, essendo la domanda di assistenza amministrativa italiana 23 novembre 2018 viziata da errori e lacune. L'AFC si sarebbe poi sostituita - a torto - all'autorità estera, ricercando attivamente una prova che potesse legittimare la domanda di assistenza amministrativa. Essa non sarebbe dunque dovuta entrare nel merito della domanda italiana e questo in quanto la stessa, non essendo fondata su una prova reale, avrebbe come scopo la ricerca di prove. Sennonché tali censure non possono che essere qui respinte. Gli argomenti sollevati dalla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la ricorrente allorquando essa ritiene - contrariamente a quanto stabilito dal Tribunale federale - che la domanda non sia conforme al diritto applicabile e più precisamente alla CDI CH-IT.</w:t>
      </w:r>
    </w:p>
    <w:p>
      <w:r>
        <w:rPr>
          <w:b/>
        </w:rPr>
        <w:t>E. 5</w:t>
      </w:r>
    </w:p>
    <w:p>
      <w:r>
        <w:t>Constatata l'ammissibilità della domanda raggruppata italiana di assistenza amministrativa del 23 novembre 2018, occorre ancora stabilire se la ricorrente rientri o meno nel modello di comportamento (lecitamente) ivi descritto dall'autorità richiedente italiana. A tal proposito, lo scrivente Tribunale rileva come da un esame degli atti dell'incarto - e meglio dalla documentazione fornita dalla banca B._______/C._______ (cfr. atto n. 18.2 dell'incarto prodotto dall'autorità inferiore su chiave USB [di seguito: inc. AFC]) - risulti chiaramente che durante il periodo interessato dalla predetta domanda raggruppata, la ricorrente era titolare di un conto bancario presso la banca B._______/C._______. È poi incontestato ch'essa abbia ricevuto la lettera 20 febbraio 2015 della predetta banca. Dalla documentazione bancaria risulta infatti chiaramente che la stessa si è recata in banca il 24 febbraio 2015 e che per finire abbia deciso di chiudere il proprio conto bancario (cfr. atto n. 18.2, pagg. 1 e 3). In tali circostanze, vi è motivo di presumere ch'essa abbia avuto conoscenza di detto scritto. Secondo quanto giustamente indicato dall'autorità inferiore (cfr. decisione impugnata, consid. 8), la ricorrente non ha reagito a detta lettera comprovando la sua conformità fiscale, sicché la stessa rientra nel modello di comportamento descritto nella domanda raggruppata.</w:t>
      </w:r>
    </w:p>
    <w:p>
      <w:r>
        <w:rPr>
          <w:b/>
        </w:rPr>
        <w:t>E. 6</w:t>
      </w:r>
    </w:p>
    <w:p>
      <w:r>
        <w:t>La ricorrente censura infine la violazione del diritto di essere sentito (art. 29 cpv. 2 della Costituzione federale della Confederazione Svizzera del 18 aprile 1999 [RS 101; di seguito: Cost.]). A mente della ricorrente, l'AFC non si sarebbe infatti chinata sufficientemente sulle censure da essa sollevate e al contrario avrebbe trattato le stesse mediante rinvii generici ad altri punti della sua decisione. Fondando quindi la propria decisione su fatti «distorti», l'AFC avrebbe violato il diritto di essere sentito (art. 29 cpv. 2 Cost.) della qui ricorrente. Circa la censura della violazione del diritto di essere sentito in rapporto alla motivazione generica/standardizzata delle decisioni finali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(Cfr. anche sentenza del TAF non pubblicata A-3611/2020 del 20 ottobre 2022 consid. 6) .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Per quanto qui necessario, il Tribunale osserva - analogamente a quanto ritenuto nell'ambito della causa A-5662/2020 - che se è vero che nella decisione impugnata l'autorità inferiore espone in maniera standardizzata, senza riferimento esplicito alla presa di posizione della ricorrente, i motivi per i quali essa ritiene che le informazioni vadano trasmesse all'autorità richiedente italiana, rispettivamente i motivi per cui la domanda di assistenza amministrativa italiana vada accolta, vero è anche che tale motivazione standardizzata non pregiudica tuttavia il suo diritto di essere sentita. Nonostante l'uso di paragrafi standardizzati - il cui uso appare giustificato nel contesto di un'amministrazione che emana decisioni di massa - gli argomenti giuridici esposti dall'autorità inferiore nella decisione impugnata risultano chiari e permettono di comprendere le ragioni per cui le censure sollevate dalla ricorrente con scritto 13 marzo 2020 non sono state da lei considerare come decisive. Nella fattispecie, tale è segnatamente il caso per gli argomenti che rispondono alle censure circa l'assenza di rilevanza verosimile e la violazione del divieto della fishing expedition (cfr. decisione impugnata, consid. 7), la violazione del principio di sussidiarietà (cfr. decisione impugnata, considd. 7 e segg.), la violazione del principio della buona fede (cfr. decisione impugnata, considd. 5.3 e segg. e 8.6), ecc. In altri termini, da un esame della decisione impugnata, risulta che la stessa è sufficientemente motivata affinché la ricorrente possa comprenderne la portata e contestarla con cognizione di causa, così come richiesto dal diritto di essere sentito, ciò che peraltro ella ha fatto. Con ricorso 4 giugno 2020, la ricorrente ha potuto infatti contestare pienamente in questa sede detta decisione, indicando i motivi per cui ritiene la domanda di assistenza amministrativa italiana come inammissibile, rispettivamente perché i suoi dati non dovrebbero essere trasmessi all'autorità richiedente italiana. Anche ad avere ancora dubbi al riguardo, ogni eventuale violazione del suo diritto di essere sentito in rapporto alla motivazione standardizzata della decisione impugnata - ciò che, come visto, non è tuttavia qui il caso - va comunque considerata come sanata in questa sede, dal momento che la ricorrente ha potuto esporre nuovamente le sue censure e che il Tribunale è entrato nel loro merito, per quanto necessario, nel contesto del presente giudizio. Visto quanto precede, detta censura va pertanto respinta.</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la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dalla ricorrente nel suo gravame.</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7.3</w:t>
      </w:r>
    </w:p>
    <w:p>
      <w:r>
        <w:t>In definitiva, la decisione impugnata va dunque confermata e il ricorso della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della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essa versato a suo tempo. Non vi sono poi i presupposti per l'assegnazione al ricorrente di 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