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A-2877/2024 vom 3. April 2024</w:t>
      </w:r>
    </w:p>
    <w:p>
      <w:r>
        <w:t>Bundesverwaltungsgericht, 2024-04-03, FR</w:t>
      </w:r>
    </w:p>
    <w:p>
      <w:r>
        <w:rPr>
          <w:b/>
        </w:rPr>
        <w:t xml:space="preserve">Quelle: </w:t>
      </w:r>
      <w:r>
        <w:t>https://mcp.opencaselaw.ch/entscheid/bvger_A-2877_2024_d20240403</w:t>
      </w:r>
    </w:p>
    <w:p>
      <w:r>
        <w:t>FR: TAF A-2877/2024 du 3 avril 2024</w:t>
      </w:r>
    </w:p>
    <w:p>
      <w:r>
        <w:t>IT: TAF A-2877/2024 del 3 aprile 2024</w:t>
      </w:r>
    </w:p>
    <w:p>
      <w:pPr>
        <w:pStyle w:val="Heading2"/>
      </w:pPr>
      <w:r>
        <w:t>Regeste</w:t>
      </w:r>
    </w:p>
    <w:p>
      <w:r>
        <w:t>Obligations militaires | Obligations militaires ; décision du 3 avril 2024</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A-2877/2024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A-2877/2024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A-2877/2024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A-2877/2024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A-2877/2024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A-2877/2024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A-2877/2024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A-2877/2024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A-2877/2024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A-2877/2024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A-2877/2024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A-2877/2024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A-2877/2024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A-2877/2024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A-2877/2024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A-2877/2024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A-2877/2024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A-2877/2024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A-2877/2024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A-2877/2024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A-2877/2024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