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A-2814/2023 vom 10. Oktober 2023</w:t>
      </w:r>
    </w:p>
    <w:p>
      <w:r>
        <w:t>Bundesverwaltungsgericht, 2023-10-10, DE</w:t>
      </w:r>
    </w:p>
    <w:p>
      <w:r>
        <w:rPr>
          <w:b/>
        </w:rPr>
        <w:t xml:space="preserve">Quelle: </w:t>
      </w:r>
      <w:r>
        <w:t>https://mcp.opencaselaw.ch/entscheid/bvger_A-2814_2023</w:t>
      </w:r>
    </w:p>
    <w:p>
      <w:r>
        <w:t>FR: TAF A-2814/2023 du 10 octobre 2023</w:t>
      </w:r>
    </w:p>
    <w:p>
      <w:r>
        <w:t>IT: TAF A-2814/2023 del 10 ottobre 2023</w:t>
      </w:r>
    </w:p>
    <w:p>
      <w:pPr>
        <w:pStyle w:val="Heading2"/>
      </w:pPr>
      <w:r>
        <w:t>Regeste</w:t>
      </w:r>
    </w:p>
    <w:p>
      <w:r>
        <w:t>Mehrwertsteuer</w:t>
      </w:r>
    </w:p>
    <w:p>
      <w:pPr>
        <w:pStyle w:val="Heading2"/>
      </w:pPr>
      <w:r>
        <w:t>Erwägungen</w:t>
      </w:r>
    </w:p>
    <w:p>
      <w:r>
        <w:rPr>
          <w:b/>
        </w:rPr>
        <w:t>E. 1</w:t>
      </w:r>
    </w:p>
    <w:p>
      <w:r>
        <w:t>Ein Doppel des Schreibens der Vorinstanz vom 29. September 2023 geht an die Beschwerdeführerin.</w:t>
      </w:r>
    </w:p>
    <w:p>
      <w:r>
        <w:rPr>
          <w:b/>
        </w:rPr>
        <w:t>E. 2</w:t>
      </w:r>
    </w:p>
    <w:p>
      <w:r>
        <w:t>Der Antrag der Beschwerdeführerin um Akteneinsicht vom 25. August 2023 wird insoweit gutgeheissen, als ihr act. 4 und 10 sowie anonymisierte Fassungen von Vertrauliche Akten, Bst. A und B, zugestellt werden.</w:t>
      </w:r>
    </w:p>
    <w:p>
      <w:r>
        <w:rPr>
          <w:b/>
        </w:rPr>
        <w:t>E. 3</w:t>
      </w:r>
    </w:p>
    <w:p>
      <w:r>
        <w:t>Der von der Vorinstanz eingereichte E-Mail-Verkehr der ESTV mit dem Steueramt (Ort) (Vertrauliche Akten, Bst. C) wird aus den Akten gewiesen.</w:t>
      </w:r>
    </w:p>
    <w:p>
      <w:r>
        <w:rPr>
          <w:b/>
        </w:rPr>
        <w:t>E. 4</w:t>
      </w:r>
    </w:p>
    <w:p>
      <w:r>
        <w:t>Die Beschwerdeführerin erhält Gelegenheit, bis zum 9. November 2023 eine Stellungnahme einzureichen.</w:t>
      </w:r>
    </w:p>
    <w:p>
      <w:r>
        <w:rPr>
          <w:b/>
        </w:rPr>
        <w:t>E. 5</w:t>
      </w:r>
    </w:p>
    <w:p>
      <w:r>
        <w:t>Diese Verfügung geht an: - die Beschwerdeführerin (Einschreiben mit Rückschein; Beilagen: Schreiben der ESTV und unter Ziff. 2 erwähnte Unterlagen) - die Vorinstanz (Ref-Nr. [...]; Einschreiben mit Rückschein) Der Instruktionsrichter: Der Gerichtsschreiber: Jürg Steiger Alexander Cochardt Rechtsmittelbelehrung: Gegen diesen Zwischenentscheid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