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A-276/2021 vom 5. Oktober 2022</w:t>
      </w:r>
    </w:p>
    <w:p>
      <w:r>
        <w:t>Bundesverwaltungsgericht, 2022-10-05, FR</w:t>
      </w:r>
    </w:p>
    <w:p>
      <w:r>
        <w:rPr>
          <w:b/>
        </w:rPr>
        <w:t xml:space="preserve">Quelle: </w:t>
      </w:r>
      <w:r>
        <w:t>https://mcp.opencaselaw.ch/entscheid/bvger_A-276_2021</w:t>
      </w:r>
    </w:p>
    <w:p>
      <w:r>
        <w:t>FR: TAF A-276/2021 du 5 octobre 2022</w:t>
      </w:r>
    </w:p>
    <w:p>
      <w:r>
        <w:t>IT: TAF A-276/2021 del 5 ottobre 2022</w:t>
      </w:r>
    </w:p>
    <w:p>
      <w:pPr>
        <w:pStyle w:val="Heading2"/>
      </w:pPr>
      <w:r>
        <w:t>Regeste</w:t>
      </w:r>
    </w:p>
    <w:p>
      <w:r>
        <w:t>Assistance administrative</w:t>
      </w:r>
    </w:p>
    <w:p>
      <w:pPr>
        <w:pStyle w:val="Heading2"/>
      </w:pPr>
      <w:r>
        <w:t>Erwägungen</w:t>
      </w:r>
    </w:p>
    <w:p>
      <w:r>
        <w:rPr>
          <w:b/>
        </w:rPr>
        <w:t>E. 5.1.1</w:t>
      </w:r>
    </w:p>
    <w:p>
      <w:r>
        <w:t>Dans un grief que le Tribunal traitera en premier lieu, le recourant se plaint d'une violation de la condition de la pertinence vraisemblable et du principe de la bonne foi en lien avec la question de la prescription de la créance fiscale. Il considère qu'un délai de prescription de trois ans s'impose à l'administration fiscale française au titre de l'impôt sur les revenus perçus en 2010, 2011, 2012, 2013 et 2014. Ainsi, il en déduit que lors de l'envoi le 11 mai 2016 de la demande d'assistance administrative par l'autorité française à l'autorité inférieure, le délai de reprise de l'autorité française au titre des revenus perçus en 2010, 2011 et 2012 était déjà expiré. Par conséquent, en indiquant dans sa demande qu'elle « peut en 2016 procéder à des rectifications portant sur des comptes non déclarés, détenus en 2006 », l'autorité française aurait violé le principe de la bonne foi. Par ailleurs, dans une argumentation subsidiaire, le recourant fait valoir que la prescription de dix ans est en tout état de cause à ce jour atteinte pour l'année 2010. Il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l'appui de sa réplique, le recourant se réfère à l'arrêt du TAF A-2660/2018 du 11 décembre 2020, selon lequel la question de la prescription fiscale étrangère doit faire l'objet d'un examen dans la procédure d'assistance administrative suisse sous l'angle de la pertinence vraisemblable. Selon lui, aucune information ne peut donc être transmise à l'autorité française concernant l'année 2010, d'autant plus qu'il s'agit de la seule année pour laquelle un compte bancaire était ouvert. A titre subsidiaire enfin, le recourant requiert du Tribunal de céans ou de l'AFC d'interpeller l'autorité française au sujet de la prescription et d'obtenir une clarification sur le délai de prescription applicable.</w:t>
      </w:r>
    </w:p>
    <w:p>
      <w:r>
        <w:rPr>
          <w:b/>
        </w:rPr>
        <w:t>E. 5.1.2</w:t>
      </w:r>
    </w:p>
    <w:p>
      <w:r>
        <w:t>En l'espèce, le Tribunal relève que le grief relatif à une éventuelle prescription pour les périodes fiscales 2010, 2011 et 2012 soulevé par le recourant concerne la procédure interne menée dans l'Etat requérant. Le Tribunal fédéral s'est prononcé dans un arrêt du 18 mars 2022 sur la question de la pertinence vraisemblable en lien avec la prescription (cf. consid. 2.3.3 ci-avant). Il en ressort que la procédure d'assistance ne tranche pas matériellement l'affaire ; il appartient à chaque Etat d'interpréter sa propre législation et de contrôler la manière dont celle-ci est appliquée (cf. arrêts du TF 2C_662/2021, 2C_663/2021 précité consid. 1.2.3 ; cf. également 2C_1162/2016 du 4 octobre 2017 consid. 6.4 ; arrêts du TAF A-1944/2017 du 8 août 2018 consid. 3.3.6.2 ; A-4669/2016 du 8 décembre 2017 consid. 2.7 ; A-4025/2016 du 2 mai 2017 consid. 3.2.6 et les réf. cit.). Or, déterminer si les impôts dus pour les périodes fiscales précitées sont prescrits ou non est une question matérielle qui devrait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A l'inverse, si l'AFC ou le Tribunal de céans examinait ou clarifiait cette question, il préjugerait de la procédure fiscale dans l'Etat requérant, ce qui serait incompatible avec le but de la procédure d'assistance administrative. Il n'y a pas lieu de s'écarter de cette jurisprudence qui doit être confirmée. Partant, il n'appartient pas à la Cour de céans de se déterminer sur une éventuelle prescription des impôts 2010, 2011 et 2012. Il appartient en revanche au recourant, le cas échéant, de faire valoir ses moyens procéduraux devant les autorités compétentes françaises. On relèvera encore que le recourant ne fait pas valoir qu'il ne pourra plus soulever la prescription devant les autorités compétentes françaises. Il n'apparaît pas non plus, et le recourant ne l'a ni allégué ni démontré, que des principes élémentaires de procédure pourraient être violés dans la procédure étrangère en relation avec l'exception de prescription ou qu'il pourrait exister d'autres vices graves. Par conséquent, et au vu de ce qui précède, il y a lieu de considérer que les informations que l'AFC entend livrer à l'autorité requérante au sujet du recourant sont vraisemblablement pertinentes.</w:t>
      </w:r>
    </w:p>
    <w:p>
      <w:r>
        <w:rPr>
          <w:b/>
        </w:rPr>
        <w:t>E. 5.1.3</w:t>
      </w:r>
    </w:p>
    <w:p>
      <w:r>
        <w:t>Le recourant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Le Tribunal relève en premier lieu que,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au recourant de démontrer que ces éléments seraient faux. Or le recourant n'apporte aucun fait établi et concret propre à renverser la présomption de bonne foi de l'autorité requérante. Le recourant se limite à exposer dans son recours que « sur la base des informations en [sa] possession », il comprend qu'un délai de prescription de trois ans s'impose à l'administration fiscale française, mais n'exclut cependant pas qu'un délai de prescription de dix ans puisse également s'appliquer, comme l'a a priori retenu l'autorité requérante. Cela étant, il ne faut pas perdre de vue que les autorités suisses n'ont pas les connaissances nécessaires pour contrôler en détail l'application du droit étranger et que la procédure d'assistance administrative ne tranche pas matériellement l'affaire (arrêts du TAF A-4300/2021 du 13 juillet 2022 consid. 3.9 ; A-2763/2019 du 26 octobre 2021 consid. 3.9) ; il appartient ainsi à chaque Etat d'interpréter sa propre législation et de contrôler la manière dont celle-ci est appliquée (arrêt du TAF A-5229/2016 du 15 mars 2017 consid. 4.2.5.1). Pour le surplus, il peut être renvoyé aux explications figurant au considérant ci-dessus.</w:t>
      </w:r>
    </w:p>
    <w:p>
      <w:r>
        <w:rPr>
          <w:b/>
        </w:rPr>
        <w:t>E. 5.1.4</w:t>
      </w:r>
    </w:p>
    <w:p>
      <w:r>
        <w:t>Enfin et par surabondance de moyens, le Tribunal relève qu'il est douteux que l'information précitée (« l'administration fiscale française peut en 2016 procéder à des rectifications portant sur des comptes non déclarés, détenus en 2006 ») puisse, à elle seule, être interprétée comme un engagement de la France à l'égard de la Suisse. On ne voit d'ailleurs pas sur quoi l'engagement précité porterait exactement, ce que le recourant n'explique pas non plus. Quoi qu'il en soit, en admettant qu'il s'agisse d'un engagement, force serait de constater que ce dernier n'a pas été pris à l'égard du recourant, mais à l'égard de la Suisse, de telle sorte que le recourant n'est pas légitimé à s'en prévaloir. De toute manière, le Tribunal ne perçoit pas en quoi la phrase précitée aboutirait, comme le soutient le recourant, à « éluder » les engagements internationaux de la France à l'égard de la Suisse ou à « détourner » le traité de son sens et de son but.</w:t>
      </w:r>
    </w:p>
    <w:p>
      <w:r>
        <w:rPr>
          <w:b/>
        </w:rPr>
        <w:t>E. 5.1.5</w:t>
      </w:r>
    </w:p>
    <w:p>
      <w:r>
        <w:t>Au vu de ce qui précède, le Tribunal ne constate aucune violation de la condition de la pertinence vraisemblable et du principe de la bonne foi en lien avec la question de la prescription. Mal fondé, le grief invoqué par le recourant doit être rejeté. Il découle par ailleurs de ce qui précède, pour les mêmes motifs que ceux qui sont exposés plus haut, que le grief soulevé par le recourant à titre subsidiaire doit également être rejeté. En effet, sous l'angle de la condition de la pertinence vraisemblable, les clarifications sollicitées, indépendamment du délai de prescription applicable, ne modifieront pas l'issue de la présente procédure, dans la mesure où une éventuelle prescription devra le cas échéant être soulevée dans la procédure nationale de l'Etat requérant (cf. consid. 5.1.2 ci-avant).</w:t>
      </w:r>
    </w:p>
    <w:p>
      <w:r>
        <w:rPr>
          <w:b/>
        </w:rPr>
        <w:t>E. 5.2.1</w:t>
      </w:r>
    </w:p>
    <w:p>
      <w:r>
        <w:t>Au moyen d'un second grief, le recourant reproche à l'autorité inférieure d'avoir violé les principes de spécialité et de confidentialité. Il soutient que l'adjonction « [...] y inclus des personnes tierces dans un contexte fiscal [...] » figurant entre parenthèses à la fin de la lettre de l'autorité française du 2 janvier 2020 adressée à l'AFC est contraire à l'art. 28 par. 2 CDI CH-FR et à l'ATF 146 II 150 consid. 7.2. Selon lui, la phrase précitée vise à autoriser l'autorité française à utiliser les informations litigieuses reçues contre « des personnes tierces ». Le dispositif de la décision attaquée serait par ailleurs contradictoire. Il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Il en déduit cependant que selon « la vision de l'AFC et du fisc français », l'art. 28 par. 2 CDI CH-FR, mentionné dans le dispositif de la décision attaquée, autoriserait l'utilisation des renseignements transmis « contre des personnes tierces ». Il considère ainsi qu'il existe un risque concret de violation du principe de spécialité. Il se prévaut par ailleurs de son droit à l'autodétermination informationnelle, qui découle des art. 8 de la Convention du 4 novembre 1950 de sauvegarde des droits de l'homme et des libertés fondamentales (CEDH, RS 0.101) et 13 de la Constitution fédérale de la Confédération suisse du 18 avril 1999 (Cst., RS 101), en se référant à l'ATF 146 I 172 consid. 7.2 ; il soutient à ce sujet que l'autorité française envisagerait un usage des informations bancaires « libre de tout cadre légal et conventionnel ». Il considère également que les échanges intervenus entre l'autorité française et l'AFC en janvier 2020 ont aggravé le risque d'utilisation non conforme des informations. Il estime encore que l'AFC perpétue une pratique, celle de l'utilisation des informations transmises à l'étranger contre des tiers (« sekundäre Verwendung »), rejetée par le Tribunal fédéral (il se réfère à cet égard à l'ATF 147 II 13 et à l'arrêt du TF 2C_780/2018 du 1er février 2021 consid. 3.7.4). A titre subsidiaire enfin, il a requis du Tribunal, respectivement de l'AFC, d'obtenir une garantie de la part de l'autorité requérante selon laquelle les informations seront utilisées conformément au droit applicable, notamment à l'art. 28 par. 2 CDI CH-FR, le courrier du 2 janvier 2020 de l'autorité requérante et tout accord qui en découlerait entre les autorités suisses et françaises étant révoqués dans cette mesure.</w:t>
      </w:r>
    </w:p>
    <w:p>
      <w:r>
        <w:rPr>
          <w:b/>
        </w:rPr>
        <w:t>E. 5.2.2</w:t>
      </w:r>
    </w:p>
    <w:p>
      <w:r>
        <w:t>En l'espèce, le Tribunal constate d'abord que le recourant invoque un grief qui ne concerne que les intérêts de tiers et en aucun cas les siens propres, le grief en question étant par conséquent susceptible d'être déclaré irrecevable.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ATF 147 II 116] ; ATF 143 II 506 consid. 5.1 ; 139 II 404 consid. 11.1 ; cf. également arrêt du TAF A-1023/2020 du 9 juillet 2021 consid. 5.6). Or, c'est précisément ce que fait le recourant en critiquant l'adjonction qui figure dans la lettre de l'autorité française précitée. En invoquant en l'espèce la violation du principe de spécialité dans sa composante personnelle, le recourant soulève en réalité l'intérêt de tiers à être informés de l'ouverture de la procédure d'assistance administrative, ce qu'il n'est pas habilité à faire, raison pour laquelle son grief doit être qualifié d'irrecevable. Cela étant, même si le Tribunal entrait en matière sur ce grief, il devrait être rejeté sur le fond pour les motifs qui suivent.</w:t>
      </w:r>
    </w:p>
    <w:p>
      <w:r>
        <w:rPr>
          <w:b/>
        </w:rPr>
        <w:t>E. 5.2.3</w:t>
      </w:r>
    </w:p>
    <w:p>
      <w:r>
        <w:t>On rappellera au préalable que le Tribunal fédéral a jugé, d'une manière qui lie la Cour de céans,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D ci-avant).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5.2.4</w:t>
      </w:r>
    </w:p>
    <w:p>
      <w:r>
        <w:t>A l'appui de son recours et de sa réplique, le recourant insiste sur l'adjonction qui figure à la fin de la lettre de l'autorité française du 2 janvier 2020 (« [...] y inclus des personnes tierces dans un contexte fiscal [...] »), qui violerait, selon lui, le principe de spécialité. Il perd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2.5 ci-avant). L'échange du 2 janvier 2020 n'est dès lors pas déterminant, et il n'y a pas lieu de le révoquer, comme demandé par le recourant, dans la mesure où la décision attaquée du 18 décembre 2020 tient compte de manière très claire de la jurisprudence en question. La décision attaquée, sous le titre « Restrictions à l'utilisation des informations » (ch. 13 p. 34), précise en effet ce qui suit : « Lors de la transmission, l'AFC rappellera à la DGFiP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TF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Contrairement à ce qu'indique le recourant, il n'y a pas de contradiction entre les deux parties de la phrase du dispositif précité. En effet, l'autorité inférieure y exige de son homologue français non seulement le respect du principe général de spécialité, tel qu'il découle des « restrictions d'utilisation et obligations de confidentialité prévues par la Convention (art. 28 par. 2 CDI CH-FR) », mais en sus, elle lui signifie que ce principe a une composante personnelle (« dans le cadre de la procédure relative à la/aux personne/s concernée/s »). Au vu de ce qui précède, le recourant ne peut raisonnablement pas prétendre que l'AFC autoriserait l'utilisation des renseignements transmis « contre des personnes tierces ». On rappellera encore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 CH-FR ; ATF 147 II 13 consid. 3.4 ; 146 I 172 consid. 7.1.3 ; arrêt du TAF A-5379/2020 du 2 juin 2022 consid. 5.6.3).</w:t>
      </w:r>
    </w:p>
    <w:p>
      <w:r>
        <w:rPr>
          <w:b/>
        </w:rPr>
        <w:t>E. 5.2.5</w:t>
      </w:r>
    </w:p>
    <w:p>
      <w:r>
        <w:t>Enfin, contrairement à ce que prétend le recourant,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le recourant se réfère porte sur la qualité de partie des tiers non visés par une procédure administrative internationale en matière fiscale, mais dont les noms apparaissent dans la documentation à transmettre. Le recourant, en tant que personne concernée, ne se trouve pas dans la situation évoquée dans cet arrêt ; il a en effet pu participer à tous les stades de la présente procédure, et ainsi bénéficier d'une protection juridique. Le droit à l'autodétermination informationnelle du recourant a par conséquent été respecté. Au demeurant, et dans la mesure où il entend invoquer un droit à l'autodétermination informationnelle non pas pour lui-même mais pour des tiers, ce grief devrait être rejeté pour les mêmes motifs que ceux qui sont exposés plus haut, étant encore précisé qu'il est de toute manière douteux que ce grief soit recevable (cf. consid. 5.2.2 ci-avant).</w:t>
      </w:r>
    </w:p>
    <w:p>
      <w:r>
        <w:rPr>
          <w:b/>
        </w:rPr>
        <w:t>E. 5.2.6</w:t>
      </w:r>
    </w:p>
    <w:p>
      <w:r>
        <w:t>Au vu de ce qui précède, la décision attaquée respecte les principes de spécialité et de confidentialité. Mal fondé, le grief invoqué par le recourant doit être rejeté ainsi que celui soulevé à titre subsidiaire.</w:t>
      </w:r>
    </w:p>
    <w:p>
      <w:r>
        <w:rPr>
          <w:b/>
        </w:rPr>
        <w:t>E. 5.3.1</w:t>
      </w:r>
    </w:p>
    <w:p>
      <w:r>
        <w:t>En dernier lieu, le recourant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Il soutient en substance qu'il existe un risque avéré de double imposition en raison du prélèvement de l'impôt à la source en Suisse et de l'imposition en France des revenus soumis à l'impôt à la source en Suisse. Il se réfère à l'art. 9 aAFisE qui prévoyait un système d'élimination de la double imposition en relation avec l'art. 2 par. 2 let. d aAFisE, qui disposait que l'agent payeur est tenu de communiquer le montant des intérêts payés calculé selon l'art. 3 aAFisE (assiette de la retenue de l'impôt), ces informations devant ensuite être communiquées par l'autorité suisse à l'autorité de l'Etat membre de résidence du bénéficiaire effectif (art. 2 par. 3 aAFisE). Il ajoute qu'il ne se limite pas à invoquer un risque de double imposition, mais qu'il demande l'application du droit en vigueur pour les années visées par la demande française, respectivement pour l'année 2010. Il conclut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5.3.2</w:t>
      </w:r>
    </w:p>
    <w:p>
      <w:r>
        <w:t>Le Tribunal relève en l'espèce que la CDI CH-FR et l'AFisE sont deux textes qui poursuivent des buts différents, de sorte que l'on ne discerne pas d'incompatibilités entre les deux. La question de la double imposition, ou plutôt seulement le risque de double imposition qui est évoqué par le recourant, n'a pas à être examiné dans le cadre de la présente procédure d'assistance administrative. Il s'agit en effet d'une question matérielle en ce sens qu'elle relève de la procédure de taxation du recourant et d'une éventuelle garantie lui permettant d'éviter une double imposition de ses revenus. Comme la question d'une éventuelle prescription du droit de taxer dans l'Etat requérant, une double imposition engendrée par le prélèvement à la source en application de l'aAFisE ne saurait faire obstacle à une requête d'assistance fiscale internationale, laquelle n'a pas pour vocation de régler matériellement une telle procédure de taxation. Au surplus, il peut être renvoyé aux développements qui ont été présentés plus haut au sujet de la prescription (cf. consid. 2.3.3 et 5.1.2 ci-avant).</w:t>
      </w:r>
    </w:p>
    <w:p>
      <w:r>
        <w:rPr>
          <w:b/>
        </w:rPr>
        <w:t>E. 5.3.3</w:t>
      </w:r>
    </w:p>
    <w:p>
      <w:r>
        <w:t>Même si les dispositions de l'aAFisE citées par le recourant dans son recours impliquaient, dans le cadre de cet Accord, une communication de l'autorité suisse à l'autorité de l'Etat membre de résidence du bénéficiaire effectif, le Tribunal de céans est d'avis que le grief en question s'écarte de l'objet de la contestation, qui porte uniquement sur la demande d'assistance administrative déposée par l'autorité française et les informations qui seront transmises sur cette base, de telle sorte que la recevabilité de ce grief semble pour le moins douteuse. Le recourant ne saurait en effet étendre l'objet du litige à l'application d'un Accord, dont les dispositions invoquées ne sont plus en vigueur et dont le recourant envisage une application par analogie. Quand bien même ce grief serait recevable, on ne perçoit pas pour quels motifs il conviendrait d'appliquer les dispositions de l'aAFisE dans le cadre de la présente demande d'assistance administrative basée sur la CDI CH-FR ; le recourant ne l'explique pas. Enfin, si le recourant estime que c'est à tort que des informations n'ont pas été communiquées en vertu des dispositions de l'aAFisE dont il demande l'application, il lui appartient le cas échéant d'effectuer les démarches qu'il juge utiles.</w:t>
      </w:r>
    </w:p>
    <w:p>
      <w:r>
        <w:rPr>
          <w:b/>
        </w:rPr>
        <w:t>E. 5.3.4</w:t>
      </w:r>
    </w:p>
    <w:p>
      <w:r>
        <w:t>Mal fondé, le grief invoqué par le recourant à titre principal et subsidiaire doit être rejeté.</w:t>
      </w:r>
    </w:p>
    <w:p>
      <w:r>
        <w:rPr>
          <w:b/>
        </w:rPr>
        <w:t>E. 6.1</w:t>
      </w:r>
    </w:p>
    <w:p>
      <w:r>
        <w:t>Vu les considérants qui précèdent, le recours est rejeté dans la mesure de sa recevabilité. Le recourant, qui succombe, doit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