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A-2764/2018 vom 23. Mai 2019</w:t>
      </w:r>
    </w:p>
    <w:p>
      <w:r>
        <w:t>Bundesverwaltungsgericht, 2019-05-23, DE</w:t>
      </w:r>
    </w:p>
    <w:p>
      <w:r>
        <w:rPr>
          <w:b/>
        </w:rPr>
        <w:t xml:space="preserve">Quelle: </w:t>
      </w:r>
      <w:r>
        <w:t>https://mcp.opencaselaw.ch/entscheid/bvger_A-2764_2018</w:t>
      </w:r>
    </w:p>
    <w:p>
      <w:r>
        <w:t>FR: TAF A-2764/2018 du 23 mai 2019</w:t>
      </w:r>
    </w:p>
    <w:p>
      <w:r>
        <w:t>IT: TAF A-2764/2018 del 23 maggio 2019</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ist im vorliegenden Fall nicht gegeben und die Vorinstanz ist eine Behörde im Sinne von Art. 33 VGG. Das Bundesverwaltungsgericht ist somit zur Behandlung der Beschwerde zuständig.</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im Übrigen form- und fristgerecht eingereichte Beschwerde (vgl. Art. 50 Abs. 1 VwVG und Art. 52 Abs. 1 VwVG) ist demnach - unter Vorbehalt des nachfolgend unter E. 1.5 und E. 1.6 Dargelegten - einzutreten.</w:t>
      </w:r>
    </w:p>
    <w:p>
      <w:r>
        <w:rPr>
          <w:b/>
        </w:rPr>
        <w:t>E. 1.5</w:t>
      </w:r>
    </w:p>
    <w:p>
      <w:r>
        <w:t>Anfechtungsobjekt im Verfahren vor dem Bundesverwaltungsgericht bildet einzig der vorinstanzliche Entscheid (vorliegend der Beschwerdeentscheid vom 6. April 2018), nicht auch allfällige Entscheide tieferer Instanzen. Diese werden nämlich jeweils durch den Entscheid der Einsprache- oder Beschwerdeinstanz ersetzt (vgl. André Moser/Michael Beusch/ Lorenz Kneubühler, Prozessieren vor dem Bundesverwaltungsgericht, 2. Aufl., 2013, Rz. 2.7). Demnach ist auf die vorliegende Beschwerde insoweit nicht einzutreten, als mit ihr die Aufhebung der Nachforderungsverfügung der Erstinstanz vom 6. Juli 2017 (vgl. Sachverhalt Bst. A. f und B.a) beantragt wird.</w:t>
      </w:r>
    </w:p>
    <w:p>
      <w:r>
        <w:rPr>
          <w:b/>
        </w:rPr>
        <w:t>E. 1.6</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(vgl. BGE 126 II 300 E. 2c; Urteil des BGer 1C_6/2007 vom 22. August 2007 E. 3.3). Soweit der Beschwerdeführer formell ein Feststellungsbegehren stellt (vgl. Sachverhalt Bst. B.a), fehlt ihm ein schutzwürdiges Interesse an dessen Behandlung, zumal bereits das negative Leistungsbegehren - der Antrag auf Aufhebung des angefochtenen Entscheids bzw. der Nachforderung - gestellt worden ist. Mit diesem kann anhand eines konkreten Falles entschieden werden, ob der fragliche Sachverhalt die beanstandete Forderung ausgelöst hat. Dies lässt das Feststellungsinteresse hinfällig werden (vgl. statt vieler: Urteil des BVGer A-6229/2016 vom 2. August 2018 E. 1.3), womit auf das Feststellungsbegehren nicht einzutreten ist.</w:t>
      </w:r>
    </w:p>
    <w:p>
      <w:r>
        <w:rPr>
          <w:b/>
        </w:rPr>
        <w:t>E. 1.7.1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Moser/Beusch/Kneubühler, a.a.O., Rz. 2.149). Hingegen ist es grundsätzlich nicht Sache der Rechtsmittelbehörden, den für den Entscheid erheblichen Sachverhalt von Grund auf neu zu ermitteln und über die tatsächlichen Vorbringen der Parteien hinaus den Sachverhalt vollkommen neu zu erforschen (BGE 122 V 157 E. 1a; BGE 121 V 204 E. 6c). Vielmehr geht es in diesem Verfahren darum, den von den Vorinstanzen ermittelten Sachverhalt zu überprüfen und allenfalls zu berichtigen oder zu ergänzen (vgl. statt vieler: Urteil des BVGer A-1211/2018 vom 11. März 2019 E. 1.3.1).</w:t>
      </w:r>
    </w:p>
    <w:p>
      <w:r>
        <w:rPr>
          <w:b/>
        </w:rPr>
        <w:t>E. 1.7.2</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Moser/Beusch/Kneubühler, a.a.O.,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statt vieler: BVGE 2007/41 E.2).</w:t>
      </w:r>
    </w:p>
    <w:p>
      <w:r>
        <w:rPr>
          <w:b/>
        </w:rPr>
        <w:t>E. 1.7.3</w:t>
      </w:r>
    </w:p>
    <w:p>
      <w:r>
        <w:t>Der Inhalt einer Norm ist durch Auslegung zu ermitteln. Ausgangspunkt bildet dabei stets der Wortlaut der jeweiligen Bestimmung, wobei bei Erlassen des Bundesrechts die Fassungen in den drei Amtssprachen gleichwertig sind (vgl. zur Gleichwertigkeit Art. 14 Abs. 1 des Bundesgesetzes vom 18. Juni 2004 über die Sammlungen des Bundesrechts und das Bundesblatt [PublG; SR 170.512]). Ist der Text nicht ohne weiteres klar und sind verschiedene Interpretationen möglich, muss nach der wahren Tragweite der Bestimmung gesucht werden, wobei alle Auslegungselemente zu berücksichtigen sind («Methodenpluralismus»; BGE 143 II 685 E. 4; BGE 142 II 388 E. 9.6.1). So sind namentlich die Entstehungsgeschichte der Norm (historisches Element), der Zusammenhang, in dem sie mit anderen Gesetzesbestimmungen steht (systematisches Element), sowie ihr Sinn und Zweck (teleologisches Element) zu beachten. Es sollen alle jene Methoden kombiniert werden, die für den konkreten Fall im Hinblick auf ein vernünftiges und praktikables Ergebnis am meisten Überzeugungskraft haben. Sind mehrere Lösungen denkbar, ist jene zu wählen, die der Verfassung entspricht. Allerdings findet die verfassungskonforme Auslegung - selbst bei festgestellter Verfassungswidrigkeit - im klaren Wortlaut und Sinn einer Gesetzesbestimmung ihre Schranke (statt vieler: BGE 138 II 217 E. 4.1; BGE 134 II 249 E. 2.3). Ist der Wortlaut der Bestimmung klar, das heisst eindeutig und unmissverständlich, darf davon nur abgewichen werden, wenn ein triftiger Grund für die Annahme besteht, der Wortlaut ziele am «wahren Sinn» der Regelung vorbei (BGE 143 II 268 E. 4.3.1; BGE 143 II 202 E. 8.5; zum Ganzen: Urteil des BVGer A-1359/2018 vom 11. März 2019 E. 3.6.2 m.w.H.).</w:t>
      </w:r>
    </w:p>
    <w:p>
      <w:r>
        <w:rPr>
          <w:b/>
        </w:rPr>
        <w:t>E. 1.8</w:t>
      </w:r>
    </w:p>
    <w:p>
      <w:r>
        <w:t>Der zu beurteilende Sachverhalt hat sich im Mai 2017 verwirklicht. Somit sind neben dem Übereinkommen vom 26. Juni 1990 über die vorübergehende Verwendung (Istanbul Übereinkommen; SR 0.631.24) namentlich das Zollgesetz vom 18. März 2005 (ZG; SR 631.0), die Zollverordnung des Bundesrats vom 1. November 2006 (ZV; SR 631.01), die Zollverordnung der Eidgenössischen Zollverwaltung vom 4. April 2007 (ZV-EZV; SR 631.013), das Bundesgesetz vom 12. Juni 2009 über die Mehrwertsteuer (MWSTG; SR 641.20) sowie das Automobilsteuergesetz vom 21. Juni 1996 (AstG; 641.51) heranzuziehen.</w:t>
      </w:r>
    </w:p>
    <w:p>
      <w:r>
        <w:rPr>
          <w:b/>
        </w:rPr>
        <w:t>E. 2.1</w:t>
      </w:r>
    </w:p>
    <w:p>
      <w:r>
        <w:t>Waren, die ins schweizerische Zollgebiet verbracht werden, sind grundsätzlich zollpflichtig und nach dem Zollgesetz sowie nach dem Zolltarifgesetz vom 9. Oktober 1986 (ZTG; SR 632.10) zu veranlagen (vgl. Art. 7 ZG). Solche Waren unterliegen zudem grundsätzlich der Einfuhrmehrwertsteuer (Art. 50 ff. MWSTG) und - sofern es sich um Automobile handelt - der Automobilsteuer (Art. 22 Abs. 1 AStG). Vorbehalten bleiben Zoll- und Steuerbefreiungen, die sich aus besonderen Bestimmungen von Gesetzen und Verordnungen oder Staatsverträgen ergeben (Art. 2 Abs. 1 und Art. 8 ff. ZG; Art. 1 Abs. 2 ZTG; Art. 53 MWSTG, Art. 7 und 12 Abs. 1 AStG).</w:t>
      </w:r>
    </w:p>
    <w:p>
      <w:r>
        <w:rPr>
          <w:b/>
        </w:rPr>
        <w:t>E. 2.2</w:t>
      </w:r>
    </w:p>
    <w:p>
      <w:r>
        <w:t>Die Zollzahlungspflicht obliegt der Zollschuldnerin bzw. dem Zollschuldner (Art. 70 Abs. 1 ZG). Zum entsprechenden Kreis gehört auch die Person, die Waren über die Zollgrenze bringt oder bringen lässt (Art. 70 Abs. 2 Bst. a ZG). Sodann umfasst die Zollzahlungspflicht die Pflicht zur Entrichtung der Abgaben und Kosten, die gestützt auf andere als zollrechtliche Erlasse (also beispielsweise auf die Mehrwert- oder Automobilsteuergesetzgebung) durch die Zollverwaltung zu erheben sind (Art. 90 ZG; vgl. Urteile des BVGer A-4510 vom 20. Mai 2019 E. 2.2 und A-3322/2018 vom 11. Dezember 2018 E. 3.2).</w:t>
      </w:r>
    </w:p>
    <w:p>
      <w:r>
        <w:rPr>
          <w:b/>
        </w:rPr>
        <w:t>E. 2.3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nachfolgend E. 3 ff.)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2.3.1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ZV-EZV).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Automobilsteuer (Art. 7 AStG) und der Einfuhrmehrwertsteuer (vgl. Art. 50 MWSTG; Urteil des BVGer A-3322/2018 vom 11. Dezember 2018 E. 3.4).</w:t>
      </w:r>
    </w:p>
    <w:p>
      <w:r>
        <w:rPr>
          <w:b/>
        </w:rPr>
        <w:t>E. 3</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wird das Verfahren der vorübergehenden Verwendung vorgesehen (vgl. Urteil des BVGer A-4510/2018 vom 20. Mai 2019 2019 E. 3).</w:t>
      </w:r>
    </w:p>
    <w:p>
      <w:r>
        <w:rPr>
          <w:b/>
        </w:rPr>
        <w:t>E. 3.1</w:t>
      </w:r>
    </w:p>
    <w:p>
      <w:r>
        <w:t>Dass das Istanbul Übereinkommen für den vorliegenden Fall einschlägig sei, wird zu Recht nicht geltend gemacht, zumal der Beschwerdeführer unbestrittenermassen Wohnsitz in der Schweiz (und nicht im Zollausland) hat und somit die in der Anlage C zum Übereinkommen genannten Erleichterungen soweit hier interessierend nicht in Anspruch nehmen kann (vgl. Art. 5 Bst. b der Anlage C zum Übereinkommen; Urteil des BVGer A-4510/2018 vom 20. Mai 2019 E. 5.2.2). Diesbezügliche Weiterungen erübrigen sich damit.</w:t>
      </w:r>
    </w:p>
    <w:p>
      <w:r>
        <w:rPr>
          <w:b/>
        </w:rPr>
        <w:t>E. 3.2.1</w:t>
      </w:r>
    </w:p>
    <w:p>
      <w:r>
        <w:t>Die Möglichkeit der vorübergehenden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übertragen (Abs. 2).</w:t>
      </w:r>
    </w:p>
    <w:p>
      <w:r>
        <w:rPr>
          <w:b/>
        </w:rPr>
        <w:t>E. 3.2.2</w:t>
      </w:r>
    </w:p>
    <w:p>
      <w:r>
        <w:t>Der Umsetzung der materiellen Fiskalbestimmungen von Art. 9 ZG dient sodann Art. 58 ZG (Schreier, a.a.O.,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vgl. Urteil des BVGer A-4510/2018 vom 20. Mai 2019 E. 3.2.3)</w:t>
      </w:r>
    </w:p>
    <w:p>
      <w:r>
        <w:rPr>
          <w:b/>
        </w:rPr>
        <w:t>E. 3.2.3</w:t>
      </w:r>
    </w:p>
    <w:p>
      <w:r>
        <w:t>Gestützt auf Art. 9 ZG wird in Art. 36 Abs. 1 ZV festgehalten, dass die EZV Personen mit Wohnsitz im Zollgebiet die vorübergehende Verwendung von ausländischen Beförderungsmitteln zum eigenen Gebrauch bewilligt, welche "im Rahmen eines schriftlichen Vertrags gelegentlich bei einem im Zollausland ansässigen Vermietungsunternehmen" gemietet werden. Diese Beförderungsmittel müssen innerhalb von acht Tagen nach dem Wirksamwerden des Vertrags wieder ausgeführt oder an das im Zollgebiet ansässige Vermietungsunternehmen zurückgegeben werden (Art. 36 Abs. 2 ZV).</w:t>
      </w:r>
    </w:p>
    <w:p>
      <w:r>
        <w:rPr>
          <w:b/>
        </w:rPr>
        <w:t>E. 4.1</w:t>
      </w:r>
    </w:p>
    <w:p>
      <w:r>
        <w:t>Gemäss Art. 118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4.2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4.3</w:t>
      </w:r>
    </w:p>
    <w:p>
      <w:r>
        <w:t>Gemäss Art. 36 Abs. 1 AStG ist unter Strafandrohung u.a. untersagt, die Automobilsteuer vorsätzlich oder fahrlässig durch Nichtanmeldung, Verheimlichung, unrichtige Deklaration der Automobile ganz oder teilweise zu hinterziehen oder zu gefährden.</w:t>
      </w:r>
    </w:p>
    <w:p>
      <w:r>
        <w:rPr>
          <w:b/>
        </w:rPr>
        <w:t>E. 4.4</w:t>
      </w:r>
    </w:p>
    <w:p>
      <w:r>
        <w:t>Sowohl die Zoll- als auch die Mehrwertsteuer- sowie die Automobilsteuergesetzgebung gehören zur Verwaltungsgesetzgebung des Bundes. Entsprechend findet bei Widerhandlungen in den jeweiligen Bereichen (zumindest teilweise) das Bundesgesetz vom 22. März 1974 über das Verwaltungsstrafrecht (VStrR; SR 313.0) Anwendung (vgl. Art. 128 Abs. 1 ZG; Art. 103 Abs. 1 MWSTG und Art. 36 Abs. 1 AStG; zum Ganzen: Urteil des BVGer A-4510/2018 vom 20. Mai 2019 E. 4.4). Gemäss Art. 12 Abs. 1 VStrR sind Abgaben, die infolge einer Widerhandlung gegen die Verwaltungsgesetzgebung des Bundes zu Unrecht nicht erhoben worden sind, ohne Rücksicht auf die subjektive Strafbarkeit einer Person nachzuentrichten (BGE 106 Ib 218 E. 2c; Urteil des BGer 2A.242/2006 vom 2. Februar 2007 E. 2.1; Urteil des BVGer A-235/2015 vom 26. Mai 2014 E. 4.3.1). Leistungspflichtig für die zu Unrecht nicht erhobene Abgabe ist, "wer in den Genuss des unrechtmässigen Vorteils gelangt ist, insbesondere der zur Zahlung der Abgabe Verpflichtete" (Art. 12 Abs. 2 VStrR; zum Ganzen: Urteil des BVGer A-4510/2018 vom 20. Mai 2019 E. 4.4).</w:t>
      </w:r>
    </w:p>
    <w:p>
      <w:r>
        <w:rPr>
          <w:b/>
        </w:rPr>
        <w:t>E. 5.1</w:t>
      </w:r>
    </w:p>
    <w:p>
      <w:r>
        <w:t>Im vorliegend zu beurteilenden Fall ist unstrittig, dass der Beschwerdeführer mit Wohnsitz in der Schweiz das betreffende - unverzollte - Fahrzeug ohne Zollanmeldung in die Schweiz verbracht und hier verwendet hat. Zu prüfen gilt, ob die Vorinstanz zu Recht entschieden hat, dass der Beschwerdeführer damit die entsprechenden Einfuhrabgaben schuldet.</w:t>
      </w:r>
    </w:p>
    <w:p>
      <w:r>
        <w:rPr>
          <w:b/>
        </w:rPr>
        <w:t>E. 5.2</w:t>
      </w:r>
    </w:p>
    <w:p>
      <w:r>
        <w:t>Der Beschwerdeführer macht im Wesentlichen geltend, das betreffende Fahrzeug sei weder dauerhaft in die Schweiz eingeführt worden, noch sei es dafür vorgesehen gewesen. Das Fahrzeug sei nur sehr kurze Zeit im Rahmen eines Mietvertrages auf Schweizer Territorium gewesen. Aus einer einmaligen, auch nur zeitweiligen Einfuhr, ohne dass die Absicht des Verbringens in die Schweiz bestanden habe, würden die Voraussetzungen nicht vorliegen, Mehrwertsteuer bzw. Automobilsteuer zu erheben. Bei dem Fahrzeug handle es sich um ein Leasingfahrzeug, welches nach deutschem Recht immatrikuliert und von einer Ausfuhr in die Schweiz insoweit ausgeschlossen sei, als dass der nach deutschem Recht erforderliche Kraftfahrzeugbrief beim Leasinggeber hinterlegt sei. Damit seien eine Ausfuhr und ein dauerhaftes Verbringen in die Schweiz nicht möglich. Gemäss vorliegendem Mietvertrag handle es sich beim streitbetroffenen Fahrzeug um ein Mietfahrzeug, welches für sieben Tage angemietet worden sei und zum entsprechenden Zeitpunkt nicht nur innerhalb der Europäischen Union, sondern auch in der Schweiz benutzt werden sollte. Der Beschwerdeführer argumentiert, bei Mietfahrzeugen entfalle die Notwendigkeit der Anmeldung bei der Zollstelle zur "zeitweiligen Nutzung". Sodann gehöre er als Mieter des Fahrzeugs nicht zu den leistungspflichtigen Personen bzw. Zollschuldnern. Im Weiteren habe der Vermieter bestätigt, dass er mehreren Dritten in der Vergangenheit Fahrzeuge im Rahmen der kommerziellen Vermietung überlassen habe. Die Vorinstanz gehe diesbezüglich fehl in der Annahme, ein Autovermieter müsse von der schweizerischen Zollverwaltung als kommerzieller Vermieter von Fahrzeugen anerkannt sein. Aus Art. 36 Abs. 1 ZV gehe nicht hervor, dass ein ausländisches Vermietungsunternehmen für Personenwagen einer bestimmten Bewilligung oder anderweitigen Anmeldung in der Schweiz bedürfe, damit Mietverträge anerkannt würden. Im Zuge des freien Wirtschafts- und Vertragsverkehrs sei eine Autovermietung im Grunde für jedwelche Unternehmen möglich. Letztendlich sei dem Vermieter des Fahrzeugs eine doppelte Immatrikulation nicht zuzumuten.</w:t>
      </w:r>
    </w:p>
    <w:p>
      <w:r>
        <w:rPr>
          <w:b/>
        </w:rPr>
        <w:t>E. 5.3.1</w:t>
      </w:r>
    </w:p>
    <w:p>
      <w:r>
        <w:t>Bei seiner Argumentation übersieht der Beschwerdeführer zunächst, dass ihn als Person, welche Waren (vorliegend ein Fahrzeug) ins Zollgebiet verbringt, gemäss Zollgesetz sowohl eine Zuführungs- als auch eine Anmeldepflicht trifft. Anlässlich der Zollanmeldung ist - wie dargelegt - das gewünschte Verfahren (beispielsweise jenes der vorübergehenden Verwendung) zu wählen und die Anmeldung entsprechend vorzunehmen (vgl. E. 2.3.1 und E. 3.2.2). Diese Zuführungs- und Anmeldepflicht besteht von Gesetzes wegen und ungeachtet einer allenfalls nur kurzen Verwendungsdauer des betreffenden Gegenstandes. Ebenfalls nicht von Belang ist in diesem Zusammenhang, ob es sich um ein Leasingfahrzeug handelt (welches allenfalls entgegen der leasingvertraglichen Bestimmungen ins Ausland verbracht wird). Eine solche Anmeldung ist im vorliegenden Fall unbestrittenermassen unterblieben.</w:t>
      </w:r>
    </w:p>
    <w:p>
      <w:r>
        <w:rPr>
          <w:b/>
        </w:rPr>
        <w:t>E. 5.3.2</w:t>
      </w:r>
    </w:p>
    <w:p>
      <w:r>
        <w:t>Der Beschwerdeführer beruft sich jedoch darauf, gestützt auf Art. 36 ZV (Miete von ausländischen Beförderungsmitteln zum eigenen Gebrauch; E. 3.2.3) ohne Weiteres berechtigt gewesen zu sein, das betreffende Fahrzeug vorübergehend im schweizerischen Zollgebiet zu verwenden. Indes machte er anlässlich der Zollkontrolle vom 5. Mai 2017 weder geltend (geschweige denn wies er nach), dass das nunmehr behauptete Mietverhältnis am eingeführten Fahrzeug schon zum Zeitpunkt der fraglichen Einfuhr bestand. Im Gegenteil, anlässlich der Kontrolle erwähnte er das behauptete Mietverhältnis mit keinem Wort (vgl. Sachverhalt Bst. A.a). Vielmehr behauptete er am 12. Mai 2017 zusammen mit seinem Arbeitgeber, das fragliche Fahrzeug werde als Firmenfahrzeug eines ausländischen Unternehmens vorübergehend in der Schweiz verwendet (vgl. Art. 35 und vorangehend Sachverhalt Bst. A.b). Drei Tage später liess der Beschwerdeführer demgegenüber anwaltlich gar beantragen, das Fahrzeug sei als Übersiedlungsgut zu qualifizieren und dergestalt als vorübergehend im Inland verwendet zu betrachten. Die Plausibilität der Vermutung der Vorinstanz, dass aufgrund dieser Umstände der erst anlässlich der Beschwerde vom 12. September 2017 bei der OZD vorgelegte Mietvertrag, datierend vom 2. Mai 2017, zwischen dem Beschwerdeführer und der X.b._______ GmbH (nota bene eine nahestehende ausländische Gesellschaft der Arbeitgeberin des Beschwerdeführers) nachträglich und zur Verhinderung der Nacherhebung der Einfuhrabgaben aufgesetzt worden sei, ist bei alledem nicht von der Hand zu weisen. Letztlich kann dies jedoch dahingestellt bleiben, denn entscheidend ist Folgendes: Zum einen hat der Beschwerdeführer das Fahrzeug unbestrittenermassen weder anlässlich der ersten Einreise ins Schweizer Zollgebiet ca. 14 Tage vor der Zollkontrolle (vgl. Sachverhalt Bst. A.a) noch anlässlich der Einreise am 5. Mai 2017, bei welcher die Zollkontrolle stattfand, zur vorübergehenden Verwendung angemeldet (vgl. zur entsprechenden Pflicht vorangehend E. 2.3.1 und 3.2.2). Zum anderen wurde - wie nachfolgend in Erwägung 5.3.3 aufgezeigt wird - ohnehin mindestens eine der kumulativ zu erfüllenden Voraussetzungen von Art. 36 ZV (vgl. E. 3.2.3) im vorliegenden Fall nicht erfüllt.</w:t>
      </w:r>
    </w:p>
    <w:p>
      <w:r>
        <w:rPr>
          <w:b/>
        </w:rPr>
        <w:t>E. 5.3.3</w:t>
      </w:r>
    </w:p>
    <w:p>
      <w:r>
        <w:t>Der Beschwerdeführer macht geltend, alle Voraussetzungen für die Anwendung von Art. 36 ZV zu erfüllen, zumal ihm das Fahrzeug im vorliegenden Fall vom Unternehmen X.b._______ GmbH vermietet worden sei. Es liege ein schriftlicher Vertrag vor und aus Art. 36 Abs. 1 ZV ergebe sich nicht, dass das jeweilige Vermietungsunternehmen im Sinne dieser Bestimmung einer bestimmten "Bewilligung" oder anderweitigen "Anmeldung" in der Schweiz bedürfe, damit die entsprechenden Mietverträge anerkannt würden. Dem Beschwerdeführer ist insoweit zuzustimmen, als dass ausländische Vermietungsunternehmen tatsächlich keiner "Bewilligung" oder "Anmeldung" in der Schweiz bedürfen, um von den Zollbehörden als Vermietungsunternehmen in Sinne von Art. 36 Abs. 1 ZV qualifiziert zu werden. Der Beschwerdeführer geht jedoch in der Annahme fehl, daraus folge, jedes beliebige Unternehmen falle unter den Begriff «Vermietungsunternehmen». Wie in Erwägung 1.7.3 festgehalten, ist der Inhalt einer Norm durch Auslegung zu ermitteln. Ausgangspunkt bildet dabei stets der Wortlaut der jeweiligen Bestimmung, wobei die Fassungen in den drei Amtssprachen gleichwertig sind. Der Begriff «Vermietungsunternehmen» («entreprise de location»; «impresa di noleggio») beschreibt gemäss allgemeinem Sprachverständnis ein Unternehmen, dessen (Haupt-) Zweck darin besteht, Dinge zu vermieten. Zu denken ist etwa an Bootsvermietungsunternehmen, Baumaschinenvermietungsunternehmen oder Autovermietungsunternehmen. Die Frage, um welche Art von «Vermietungsunternehmen» es sich bei dem in Art. 36 ZV Genannten handelt, lässt sich unter Beizug der Bestimmungsüberschrift beantworten. Aus der Überschrift geht nämlich hervor, dass es bei Art. 36 ZV um die «Miete von ausländischen Beförderungsmitteln» («Location de moyens de transport étrangers»; «Noleggio di mezzi di trasporto esteri») geht. Daraus wird ersichtlich, dass mit dem Begriff «Vermietungsunternehmen» in Art. 36 ZV ein eigentliches Fahrzeug- bzw. Autovermietungsunternehmen (wie z.B. Avis oder Europcar) gemeint ist. Zu diesem Schluss kam das Gericht im Übrigen bereits in seinem Urteil A-2080/2016 vom 26. Januar 2017 (siehe dort E. 7.4.5). Der Wortlaut der Bestimmung erweist sich somit als klar und bedarf keiner weiteren Auslegung. Dass Art. 36 ZV nicht der formalgesetzlichen Grundlage (Art. 9 ZG) entsprechen sollte, wird weder geltend gemacht, noch wäre eine entsprechende Inkonsistenz ersichtlich: Wie erwähnt, gilt der Grundsatz von Art. 7 ZG, wonach Waren, die ins Zollgebiet (oder aus dem Zollgebiet) verbracht werden, zollpflichtig sind. Gemäss Art. 9 ZG kann der Bundesrat Ausnahmen von diesem Grundsatz für Waren vorsehen, welche nur vorübergehend im Zollgebiet verwendet werden sollen. Er ist sodann gehalten, die Voraussetzungen für die Zollabgabebefreiung zu regeln (vgl. vorangehend E. 3.2.1). Diese Kompetenz hat der Bundesrat soweit hier interessierend pflichtgemäss wahrgenommen. Bei der im vorliegenden Fall als Vermieterin auftretenden X.b._______ GmbH handelt es sich um ein im Bereich der Immobilienentwicklung spezialisiertes Unternehmen. Selbst wenn es zutreffen sollte, dass dieses Unternehmen dem Beschwerdeführer das hier gegenständliche Fahrzeug (nur) im Rahmen des vorgelegten Mietvertrages vermietet - und nicht etwa anderweitig zur Verfügung gestellt - hat, wäre es nach dem Gesagten nicht als «Vermietungsunternehmen» im Sinne von Art. 36 ZV zu qualifizieren. Daran würde sich auch nichts ändern, wenn sich die - im vorliegenden Verfahren unsubstantiiert gebliebene - Behauptung des Beschwerdeführers als zutreffend erweisen würde, wonach die X.b._______ GmbH in der Vergangenheit auch schon Fahrzeuge Dritten im Rahmen der kommerziellen Vermietung überlassen habe. Zusammenfassend lässt sich festhalten, dass Art. 36 ZV nicht - wie der Beschwerdeführer argumentieren will - die Fahrzeugmiete «bei irgendeinem einem Unternehmen» verlangt, sondern die Miete bei einem effektiven «Vermietungsunternehmen».</w:t>
      </w:r>
    </w:p>
    <w:p>
      <w:r>
        <w:rPr>
          <w:b/>
        </w:rPr>
        <w:t>E. 5.3.4</w:t>
      </w:r>
    </w:p>
    <w:p>
      <w:r>
        <w:t>An den vormals geltend gemachten Rügen, das Fahrzeug sei nicht zu verzollen, da es sich um das Firmenfahrzeug eines ausländischen Unternehmens (vgl. Sachverhalt Bst. A.b) bzw. um Übersiedlungsgut handle (vgl. Sachverhalt Bst. A.c), hält der Beschwerdeführer nicht mehr fest. Auch aus den Akten ergeben sich keine Hinweise darauf, dass es sich um das eine oder das andere handeln könnte. Diesbezügliche Weiterungen erübrigen sich damit.</w:t>
      </w:r>
    </w:p>
    <w:p>
      <w:r>
        <w:rPr>
          <w:b/>
        </w:rPr>
        <w:t>E. 5.3.5</w:t>
      </w:r>
    </w:p>
    <w:p>
      <w:r>
        <w:t>Schliesslich ist auf den Einwand des Beschwerdeführers einzugehen, er gehöre als Mieter des betreffenden Fahrzeugs nicht zum Kreise der Zollschuldner. Diesbezüglich ist auf das vorangehend in Erwägung 2.2 Gesagte - nämlich, dass gemäss Art. 70 Abs. 2 Bst. a ZG auch die Person, welche Waren über die Zollgrenze bringt oder bringen lässt, Zollschuldnerin ist - zu verweisen. Ein Eigentumsverhältnis am Gegenstand ist nicht vorausgesetzt.</w:t>
      </w:r>
    </w:p>
    <w:p>
      <w:r>
        <w:rPr>
          <w:b/>
        </w:rPr>
        <w:t>E. 5.3.6</w:t>
      </w:r>
    </w:p>
    <w:p>
      <w:r>
        <w:t>Die von der ZKD bestimmte und seitens der Vorinstanz bestätigte Höhe der Nachforderung wird vom Beschwerdeführer nicht bestritten. Auch aus den Akten ergeben sich keine Hinweise auf eine allfällige Falschberechnung. Damit erübrigen sich Weiterungen hierzu (vgl. Urteil des BVGer A-675/2015 vom 1. September 2015 E. 6 m.w.H.).</w:t>
      </w:r>
    </w:p>
    <w:p>
      <w:r>
        <w:rPr>
          <w:b/>
        </w:rPr>
        <w:t>E. 5.3.7</w:t>
      </w:r>
    </w:p>
    <w:p>
      <w:r>
        <w:t>Abschliessend kann festgehalten werden, dass weder staatsvertragliche noch innerstaatliche Bestimmungen greifen, die es dem Beschwerdeführer erlaubt hätten, das unverzollte Fahrzeug - wie geschehen - ohne Zollanmeldung in die Schweiz einzuführen und hier zu verwenden. Damit sind Abgaben durch objektive Widerhandlung gegen die Verwaltungsgesetzgebung des Bundes zu Unrecht nicht erhoben worden (E. 4) und ist der Beschwerdeführer als Zollschuldner (E. 2.2) zur Nachleistung des Zolls sowie der weiteren geschuldeten Abgaben (vgl. Sachverhalt Bst. A.d) verpflichtet. Demnach ist der vorinstanzliche Entscheid nicht zu beanstanden.</w:t>
      </w:r>
    </w:p>
    <w:p>
      <w:r>
        <w:rPr>
          <w:b/>
        </w:rPr>
        <w:t>E. 5.4</w:t>
      </w:r>
    </w:p>
    <w:p>
      <w:r>
        <w:t>Nach dem Gesagten ist die Beschwerde abzuweisen, soweit darauf einzutreten ist (vgl. E. 1.4 ff.).</w:t>
      </w:r>
    </w:p>
    <w:p>
      <w:r>
        <w:rPr>
          <w:b/>
        </w:rPr>
        <w:t>E. 6.1</w:t>
      </w:r>
    </w:p>
    <w:p>
      <w:r>
        <w:t>Ausgangsgemäss hat der unterliegende Beschwerdeführer die Verfahrenskosten zu tragen (Art. 63 Abs. 1 VwVG). Diese sind auf Fr. 1'500.-- festzusetzen (Art. 2 Abs. 1 i.V.m. Art. 4 des Reglements vom 21. Februar 2008 über die Kosten und Entschädigungen vor dem Bundesverwaltungsgericht [VGKE; SR 173.320.2]), wobei der einbezahlte Kostenvorschuss in gleicher Höhe zur Bezahlung dieser Kosten zu verwenden ist.</w:t>
      </w:r>
    </w:p>
    <w:p>
      <w:r>
        <w:rPr>
          <w:b/>
        </w:rPr>
        <w:t>E. 6.2</w:t>
      </w:r>
    </w:p>
    <w:p>
      <w:r>
        <w:t>Eine Parteientschädigung ist entsprechend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