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A-2758/2017 vom 2. Mai 2018</w:t>
      </w:r>
    </w:p>
    <w:p>
      <w:r>
        <w:t>Bundesverwaltungsgericht, 2018-05-02, DE</w:t>
      </w:r>
    </w:p>
    <w:p>
      <w:r>
        <w:rPr>
          <w:b/>
        </w:rPr>
        <w:t xml:space="preserve">Quelle: </w:t>
      </w:r>
      <w:r>
        <w:t>https://mcp.opencaselaw.ch/entscheid/bvger_A-2758_2017</w:t>
      </w:r>
    </w:p>
    <w:p>
      <w:r>
        <w:t>FR: TAF A-2758/2017 du 2 mai 2018</w:t>
      </w:r>
    </w:p>
    <w:p>
      <w:r>
        <w:t>IT: TAF A-2758/2017 del 2 maggio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 von Art. 5 VwVG. Die OZD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zur Beschwerdeerhebung legitimiert (Art. 48 Abs. 1 VwVG). Die Beschwerde wurde zudem form- und fristgerecht eingereicht (vgl. Art. 50 Abs. 1 sowie Art. 52 Abs. 1 VwVG).</w:t>
      </w:r>
    </w:p>
    <w:p>
      <w:r>
        <w:rPr>
          <w:b/>
        </w:rPr>
        <w:t>E. 1.3.1</w:t>
      </w:r>
    </w:p>
    <w:p>
      <w:r>
        <w:t>Die Beschwerdeführerin beantragt vor Bundesverwaltungsgericht die "Korrektur der im Beschwerdeentscheid vom 4. Mai 2017 aufgeführten Veranlagungsverfügungen". Im vorinstanzlichen Verfahren hatte die Abgabepflichtige in ihrer Beschwerde vom 25. Februar 2017 nach einer Skizzierung des aus ihrer Sicht Geschehenen noch vorgebracht, es wäre "rechtlich gesehen vernünftig, [die OZD] würde[n] einer Zollrückerstattung zustimmen, dafür aber eine ordentliche Versteuerung der Mietkosten einleiten lassen".</w:t>
      </w:r>
    </w:p>
    <w:p>
      <w:r>
        <w:rPr>
          <w:b/>
        </w:rPr>
        <w:t>E. 1.3.2</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(vgl. BGE 142 I 155 E. 4.4.2, 131 II 200 E. 3.2, Urteile des BGer 2C_71/2017 vom 23. August 2017 E. 4.2, 2C_343/2010 und 2C_344/2010 vom 11. April 2011 [in BGE 137 II 199 nicht publizierte] E. 2.5, Urteil des BVGer A-7166/2016 vom 7. November 2017 E. 1.3 m.Hw.).</w:t>
      </w:r>
    </w:p>
    <w:p>
      <w:r>
        <w:rPr>
          <w:b/>
        </w:rPr>
        <w:t>E. 1.3.3</w:t>
      </w:r>
    </w:p>
    <w:p>
      <w:r>
        <w:t>Ausnahmsweise kann das verwaltungsgerichtliche Verfahren aus prozessökonomischen Gründen auf eine weitere, ausserhalb des Anfechtungsobjekts liegende Streitfrage ausgedehnt werden. Voraussetzungen dafür sind, dass einerseits ein sehr enger Bezug zum bisherigen Streitgegenstand besteht, so dass von einer Tatbestandsgesamtheit gesprochen werden kann, und andererseits die Verwaltung im Laufe des Verfahrens Gelegenheit hatte, sich zu dieser neuen Streitfrage zu äussern (BVGE 2009/37 E. 1.3.1; André Moser/Michael Beusch/Lorenz Kneubühler, Prozessieren vor dem Bundesverwaltungsgericht, 2. Aufl. 2013, Rz. 2.210).</w:t>
      </w:r>
    </w:p>
    <w:p>
      <w:r>
        <w:rPr>
          <w:b/>
        </w:rPr>
        <w:t>E. 1.3.4</w:t>
      </w:r>
    </w:p>
    <w:p>
      <w:r>
        <w:t>Gegenstand des vorliegenden Beschwerdeverfahrens ist einzig der vorinstanzliche Beschwerdeentscheid vom 4. Mai 2017, mit dem die Beschwerde gegen den Entscheid der ZKD vom 26. Januar 2017 abgewiesen und damit die dortige Abweisung des Gesuchs um Rückerstattung der Einfuhrabgaben bestätigt wurde. Die "im Beschwerdeentscheid vom 4. Mai 2017 aufgeführten Veranlagungsverfügungen", also diejenigen vom 14., 15. und 23. November 2016 betreffend die zwischen dem 11. und dem 23. November 2016 erfolgten Einfuhren (vgl. Sachverhalt A.a), können damit an sich nicht mehr Gegenstand des vorliegenden Verfahrens sein (E. 1.3.2), dies zumal die Beschwerdeführerin eine gegen die erwähnten Verfügungen erhobene Beschwerde am 9. Januar 2017 zurückgezogen hat (vgl. Sachverhalt A.g). Die Vorinstanz hat denn auch im angefochtenen Beschwerdeentscheid vom 4. Mai 2017 (vgl. Erwägungen Ziff. 3) darauf hingewiesen, dass das Gesuch vom 14. Dezember 2016 um "nachträgliche ZAVV" nicht mehr behandelt werde. Auf den Antrag, die "im Beschwerdeentscheid vom 4. Mai 2017 aufgeführten Veranlagungsverfügungen" zu korrigieren, kann mithin nicht eingetreten werden.</w:t>
      </w:r>
    </w:p>
    <w:p>
      <w:r>
        <w:rPr>
          <w:b/>
        </w:rPr>
        <w:t>E. 1.4.1</w:t>
      </w:r>
    </w:p>
    <w:p>
      <w:r>
        <w:t>Die Eingabe der Beschwerdeführerin vom 14. Dezember 2016 wurde von der Zollstelle zur Behandlung als Beschwerde gegen die Veranlagung an die ZKD weitergeleitet (Sachverhalt Bst A.d). Letztere fällte alsdann keinen förmlichen Entscheid, da die Abgabepflichtige am 9. Januar 2017 der ZKD den Rückzug der Beschwerde mitteilte (Sachverhalt Bst A.g). Zwar macht die Beschwerdeführerin geltend, der entsprechende Rückzug sei aufgrund einer Einschüchterung erfolgt (Beschwerde an die OZD vom 25. Februar 2017 S. 1; Beschwerde an das Bundesverwaltungsgericht S. 2). Diese - im Übrigen von der Vorinstanz widersprochenen - Vorbringen wurden im Beschwerdeverfahren vor Bundesverwaltungsgericht jedoch dahingehend relativiert, dass die Beschwerdeführerin aus Kostengründen die Beschwerde zurückgezogen haben will. Sie sind aber ohnehin nicht geeignet, eine gegebenenfalls rechtlich relevante Einschüchterung darzutun, so dass nicht weiter darauf eingegangen zu werden braucht, unter welchen Umständen gegebenenfalls ein Beschwerderückzug als ungeschehen zu gelten hat und durch Ausdehnung (E. 1.3.3) ein Einbezug des entsprechend von der Beschwerdeführerin Vorgebrachten im vorliegenden Verfahren zu erfolgen hätte.</w:t>
      </w:r>
    </w:p>
    <w:p>
      <w:r>
        <w:rPr>
          <w:b/>
        </w:rPr>
        <w:t>E. 1.4.2</w:t>
      </w:r>
    </w:p>
    <w:p>
      <w:r>
        <w:t>Es liesse sich zwar fragen, ob die Eingabe der Beschwerdeführerin vom 14. Dezember 2016 statt als Beschwerde als Berichtigungsgesuch im Sinn von Art. 34 Abs. 3 in Verbindung mit Art. 34 Abs. 4 ZG hätte betrachtet werden müssen, wobei vorliegend auch die 30-tägigen Frist von Art. 34 Abs. 3 ZG eingehalten gewesen wäre (BGE 142 II 443 E. 3.2.9). Wie es sich damit verhält, kann hier jedoch offen bleiben. Im Lichte des verfassungsrechtlichen Beschleunigungsgebots (Art. 29 Abs. 1 BV) ist in der vorliegenden Konstellation das Interesse der Beschwerdeführerin an einem sofortigen Urteil des Bundesverwaltungsgerichts in der Sache höher zu gewichten als ihr Interesse an einer formell korrekten Erstverfügung. Hinzu kommt, dass den mit der Eingabe vom 14. Dezember 2016 gestellten Begehren bzw. den Beschwerdebegehren im Verfahren vor Bundesverwaltungsgericht - wie im Folgenden ersichtlich wird (vgl. E. 3) - bei materieller Beurteilung ohnehin nicht zu entsprechen wäre. Eine Rückweisung käme somit einem prozessualen Leerlauf gleich, auf den zu verzichten ist (vgl. zum Ganzen: Urteil des BVGer A-7030/2016 vom 17. Januar 2018 E. 1.4; siehe dazu auch BGE 142 II 433 E. 3.4.3, wo es das höchste Gericht bei einer vergleichbaren Konstellation als vertretbar erachtete, darüber hinwegzusehen, dass die Zollstelle die Angelegenheit zur Eröffnung eines Beschwerdeverfahrens an die Zollkreisdirektion überwiesen hatte, obschon ein Berichtigungsverfahren hätte durchgeführt werden müssen).</w:t>
      </w:r>
    </w:p>
    <w:p>
      <w:r>
        <w:rPr>
          <w:b/>
        </w:rPr>
        <w:t>E. 1.5</w:t>
      </w:r>
    </w:p>
    <w:p>
      <w:r>
        <w:t>Auf die Beschwerde ist mithin - mit Vorbehalt des in E. 1.3.4 und 1.4 Ausgeführten - einzutreten.</w:t>
      </w:r>
    </w:p>
    <w:p>
      <w:r>
        <w:rPr>
          <w:b/>
        </w:rPr>
        <w:t>E. 2.1</w:t>
      </w:r>
    </w:p>
    <w:p>
      <w:r>
        <w:t>Waren, die ins schweizerische Zollgebiet oder aus dem schweizerischen Zollgebiet verbracht werden, sind grundsätzlich zollpflichtig und nach dem ZG sowie nach dem Zolltarifgesetz vom 9. Oktober 1986 (ZTG, SR 632.10) zu veranlagen (Art. 7 ZG). Solche Einfuhren von Gegenständen unterliegen zudem der Einfuhrsteuer (Art. 50 ff. des Bundesgesetzes vom 12. Juni 2009 über die Mehrwertsteuer [MWSTG, SR 641.20]).</w:t>
      </w:r>
    </w:p>
    <w:p>
      <w:r>
        <w:rPr>
          <w:b/>
        </w:rPr>
        <w:t>E. 2.2.1</w:t>
      </w:r>
    </w:p>
    <w:p>
      <w:r>
        <w:t>Zollrechtliche Ausnahmen von diesem Grundsatz werden unter anderem für inländische (Art. 10 ZG) und ausländische (Art. 11 ZG) "Rückwaren" vorgesehen. Da es sich im vorliegenden Fall unbestrittenermassen um ausländische Ware handelt, ist im Folgenden auf Art. 11 ZG einzugehen</w:t>
      </w:r>
    </w:p>
    <w:p>
      <w:r>
        <w:rPr>
          <w:b/>
        </w:rPr>
        <w:t>E. 2.2.2</w:t>
      </w:r>
    </w:p>
    <w:p>
      <w:r>
        <w:t>Für ausländische Waren, die wegen Annahmeverweigerung oder Rückgängigmachung des Vertrags, auf Grund dessen sie ins Zollgebiet eingeführt worden sind, oder wegen Unverkäuflichkeit innerhalb von drei Jahren unverändert an die Versenderin oder den Versender im Zollausland zurückgesandt werden, werden die erhobenen Einfuhrzollabgaben zurückerstattet und keine Ausfuhrzollabgaben erhoben (Art. 11 Abs. 1 ZG). Für verändert wieder ausgeführte Waren werden Rückerstattung und Zollbefreiung gewährt, wenn sie wegen eines bei ihrer Verarbeitung im Zollgebiet entdeckten Mangels zurückgesandt werden (Art. 11. Abs. 2 ZG). Sodann wird eine Rückerstattung der Einfuhrzollabgaben auch für Waren gewährt, die wieder ausgeführt werden, weil sie nach schweizerischem Recht nicht in Verkehr gebracht werden dürfen (Art. 11 Abs. 3 ZG). Gemäss Art. 11 Abs. 4 ZG regelt der Bundesrat, in welchem Ausmass eine Rückerstattung oder Zollbefreiung für Waren gewährt wird, die nicht wieder ausgeführt, sondern auf Antrag im Zollgebiet vernichtet werden. Die Rückerstattung wird der zollpflichtigen Person auf Gesuch hin gewährt, wenn die ausländische Lieferantin oder der ausländische Lieferant ihr die zu vernichtenden Waren vergütet (Art. 39 der Zollverordnung vom 1. November 2006 [ZV; SR 631.01]).</w:t>
      </w:r>
    </w:p>
    <w:p>
      <w:r>
        <w:rPr>
          <w:b/>
        </w:rPr>
        <w:t>E. 2.3.1</w:t>
      </w:r>
    </w:p>
    <w:p>
      <w:r>
        <w:t>Steuerobjekt der Einfuhrsteuer ist unter anderem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nicht erforderlich ist die Entgeltlichkeit. So lösen auch unentgeltliche Geschäfte (z.B. Schenkungen) die Einfuhrsteuer aus (Urteil des BVGer A-7030/2016 vom 17. Januar 2018 E. 2.4).</w:t>
      </w:r>
    </w:p>
    <w:p>
      <w:r>
        <w:rPr>
          <w:b/>
        </w:rPr>
        <w:t>E. 2.3.2</w:t>
      </w:r>
    </w:p>
    <w:p>
      <w:r>
        <w:t>Die Rückerstattung der bei der Einfuhr erhobenen Steuer wegen Wiederausfuhr setzt jedenfalls voraus, dass die Voraussetzungen für den Vorsteuerabzug nach Art. 28 MWSTG fehlen (Art. 60 Abs. 1 MWSTG).</w:t>
      </w:r>
    </w:p>
    <w:p>
      <w:r>
        <w:rPr>
          <w:b/>
        </w:rPr>
        <w:t>E. 2.4</w:t>
      </w:r>
    </w:p>
    <w:p>
      <w:r>
        <w:t>Das Verfahren der Zoll- und Einfuhrsteuerveranlagung wird vom Selbstdeklarationsprinzip bestimmt (Art. 21 und 25 ZG, Art. 50 MWSTG). Demnach trägt die anmeldepflichtige Person die volle Verantwortung für eine ordnungsgemässe - d.h. vollständige und richtige - Zollanmeldung. Das Zollrecht stellt damit an die anmeldepflichtige Person hinsichtlich ihrer Sorgfaltspflichten hohe Anforderungen (BGE 142 II 433 E. 2.1, 112 IV 53 E. 1a; statt vieler: Urteile des BVGer A-7503/2016 vom 16. Januar 2018 E. 5.4, A-2549/2016 vom 31. Oktober 2017 E. 6.5). Von den Zollpflichtigen wird verlangt, dass sie sich vorweg über die Zollpflicht sowie die jeweiligen Abfertigungsverfahren informieren. Unterlassen sie dies, haben sie dafür prinzipiell selber die Verantwortung zu tragen (Urteil des BVGer A-4352/2016 vom 16. August 2017 E. 4.5). Es besteht kein Anspruch auf eine Beratung durch die Zollbehörde (BVGE 2015/24 E. 4.6).</w:t>
      </w:r>
    </w:p>
    <w:p>
      <w:r>
        <w:rPr>
          <w:b/>
        </w:rPr>
        <w:t>E. 2.5</w:t>
      </w:r>
    </w:p>
    <w:p>
      <w:r>
        <w:t>Bei der Festsetzung der Steuer oder einer allfälligen Rückerstattung ist nicht zu prüfen, ob für die Abgabepflichtigen eine besondere Härte vorliegt. Diesbezüglich wird nur auf die objektiven Umstände abgestellt. Allenfalls können - wenn die Voraussetzungen erfüllt sind - beim Bezug der Abgaben Zahlungserleichterungen gewährt werden (Art. 73 Abs. 2 ZG [i.V.m. Art. 50 MWSTG]) oder - nach Rechtskraft der Steuerfestsetzung - die Steuer (teilweise) erlassen werden (Art. 86 ZG; Art. 64 MWSTG).</w:t>
      </w:r>
    </w:p>
    <w:p>
      <w:r>
        <w:rPr>
          <w:b/>
        </w:rPr>
        <w:t>E. 3.1</w:t>
      </w:r>
    </w:p>
    <w:p>
      <w:r>
        <w:t>Im vorliegenden Verfahren ist vorab festzuhalten, dass es einzig noch darum geht, zu beurteilen, ob eine Rückerstattung der entsprechenden Abgaben zu gewähren ist.</w:t>
      </w:r>
    </w:p>
    <w:p>
      <w:r>
        <w:rPr>
          <w:b/>
        </w:rPr>
        <w:t>E. 3.2</w:t>
      </w:r>
    </w:p>
    <w:p>
      <w:r>
        <w:t>Die Beschwerdeführerin stellte am 27. Dezember 2016 ein Rückerstattungsgesuch, da alle Markthütten nach Beendigung der Mietdauer wieder nach (...) zurückgefahren würden und dem Gesuch um nachträgliche Umwandlung auf ZAVV nicht stattgegeben worden sei. Die Ausfuhr erfolgte alsdann unbestrittenermassen in den letzten Tagen des Jahres 2017 bzw. in den ersten Tagen des Folgejahres (vgl. Sachverhalt A.f). Das Vorliegen einer in Art. 11 ZG geregelten Konstellation (E. 2.2) ist damit weder geltend gemacht noch ersichtlich. Im Gegenteil: Die Beschwerdeführerin räumt in ihrer Beschwerde an die OZD vom 25. Februar 2017 ein, dass die ZKD das "Gesuch auf Zoll-MWST-Rückerstattung als CH-Retourware" zu Recht abgelehnt habe. Wie bereits angesprochen (E. 1.3.1, 1.4.2), zielt die Beschwerdeführerin gerade auch in dieser erwähnten Beschwerde auf den Umstand, dass die "Verzollungen [...] von unserer Seite, von unserem Deklaranten falsch deklariert worden" seien, hätte dieser doch "für jede Sendung statt eine Einfuhrverzollung einen ZAVV erstellen müssen". Diese Ausführungen stehen freilich in Widerspruch zu den Ausführungen im "Gesuch für Nachträgliche Freipassabfertigung ZAVV" vom 14. Dezember 2016 (Sachverhalt A.d) und dem "Gesuch für Zoll- und MwSt-Rückerstattung" vom 27. Dezember 2016, in denen je ausgeführt wird, vom Frächter habe sie, die Beschwerdeführerin, den Auftrag erhalten, die Sendungen mit den zerlegten Markthütten zum NT [Normaltarif] zu verzollen. Damit kann auch von einem für die Anwendung von Art. 34 Abs. 3 und 4 Bst. a ZG vorausgesetzten Irrtum nicht gesprochen werden und hätte ohnehin keine Berichtigung gewährt werden können. Sodann zielt aufgrund des im Zollverfahren geltenden strengen Selbstdeklarationsprinzips - der durch nichts belegte, im Gegenteil durch die Akten widerlegte - Vorwurf der fehlenden Aufklärung ins Leere, trifft doch die Zollverwaltung gerade keine solche generelle Beratungspflicht (vgl. E. 2.4). Die Rückerstattung der Einfuhrsteuer schliesslich scheitert bereits an der Vorsteuerabzugsberechtigung der Beschwerdeführerin (vgl. E. 2.3). Auf eine persönliche Befragung, die in der Beschwerde an das Bundesverwaltungsgericht vom 12. Mai 2017 zumindest sinngemäss angeboten wird, kann mithin schon aus diesen Gründen ohne Weiteres verzichtet werden.</w:t>
      </w:r>
    </w:p>
    <w:p>
      <w:r>
        <w:rPr>
          <w:b/>
        </w:rPr>
        <w:t>E. 3.3</w:t>
      </w:r>
    </w:p>
    <w:p>
      <w:r>
        <w:t>Soweit die Beschwerdeführerin mit ihrem Vorbringen in der Beschwerde vom 25. Februar 2017 an die OZD, sie erwarte gerne "einen positiven und menschlichen Entscheid, einen Härtefall geltend machen will, ist ihr entgegenzusetzen, dass im vorliegenden Verfahren nicht zu prüfen ist, ob eine besondere Härte vorliegt (E. 2.5). Auf die Voraussetzungen für eine Gewährung von Zahlungserleichterungen im Rahmen des Bezugsverfahrens ist im Lichte des Streitgegenstandes (E. 1.3) vorliegend ebenfalls nicht weiter einzugehen.</w:t>
      </w:r>
    </w:p>
    <w:p>
      <w:r>
        <w:rPr>
          <w:b/>
        </w:rPr>
        <w:t>E. 4</w:t>
      </w:r>
    </w:p>
    <w:p>
      <w:r>
        <w:t>Dem Gesagten zufolge ist die Beschwerde vollumfänglich abzuweisen. Ausgangsgemäss sind die Verfahrenskosten, die auf Fr. 1'000.-- festzusetzen sind, der unterliegenden Beschwerdeführerin aufzuerlegen (Art. 63 Abs. 1 VwVG i.V.m. Art. 2 Abs. 1 und Art. 4 des Reglements vom 21. Februar 2008 über die Kosten und Entschädigungen vor dem Bundesverwaltungsgericht [VGKE, SR 173.320.2]). Dieser Betrag ist dem Kostenvorschuss im Betrag von Fr. 2'000.-- zu entnehmen. Der Restbetrag von Fr. 1'000.-- ist der Beschwerdeführerin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