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A-274/2021 vom 7. Juli 2022</w:t>
      </w:r>
    </w:p>
    <w:p>
      <w:r>
        <w:t>Bundesverwaltungsgericht, 2022-07-07, DE</w:t>
      </w:r>
    </w:p>
    <w:p>
      <w:r>
        <w:rPr>
          <w:b/>
        </w:rPr>
        <w:t xml:space="preserve">Quelle: </w:t>
      </w:r>
      <w:r>
        <w:t>https://mcp.opencaselaw.ch/entscheid/bvger_A-274_2021</w:t>
      </w:r>
    </w:p>
    <w:p>
      <w:r>
        <w:t>FR: TAF A-274/2021 du 7 juillet 2022</w:t>
      </w:r>
    </w:p>
    <w:p>
      <w:r>
        <w:t>IT: TAF A-274/2021 del 7 luglio 2022</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Steueramtshilfegesetz vom 28. September 2012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Die Beschwerdeführerin hat am vorinstanzlichen Verfahren teilgenommen und ist als Adressat der angefochtenen Schlussverfügung und Person, die vom Amtshilfeersuchen betroffen ist bzw. über welche Daten übermittelt werden sollen, zur Beschwerdeführung legitimiert (vgl. Art. 48 Abs. 1 VwVG, Art. 19 Abs. 2 StAhiG). Auf die frist- und formgerecht (vgl. Art. 50 Abs. 1 und Art. 52 Abs. 1 VwVG) eingereichte Beschwerde ist einzutreten.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bis c VwVG).</w:t>
      </w:r>
    </w:p>
    <w:p>
      <w:r>
        <w:rPr>
          <w:b/>
        </w:rPr>
        <w:t>E. 2.1</w:t>
      </w:r>
    </w:p>
    <w:p>
      <w:r>
        <w:t>Die Amtshilfeklausel von Art. 26 DBA CH-AT entspricht in ihrem heute geltenden Wortlaut weitgehend demjenigen von Art. 26 des Musterabkommens der Organisation für wirtschaftliche Zusammenarbeit und Entwicklung (nachfolgend: OECD-MA; siehe Fassung gemäss Art. II des Protokolls vom 3. September 2009 zur Abänderung des DBA CH-AT, in Kraft getreten am 1. März 2011 [AS 2011 823, nachfolgend: Änderungsprotokoll] und Botschaft vom 20. Januar 2010 zur Genehmigung eines Protokolls zur Änderung des DBA CH-AT [BBl 2010 1303, 1307]). Diese (revidierte) Bestimmung zum Informationsaustausch findet Anwendung auf Veranlagungsjahre, die ab dem 1. Januar 2012 beginnen (vgl. Art. IV Ziff. 2 des Änderungsprotokolls [AS 2011 823]).</w:t>
      </w:r>
    </w:p>
    <w:p>
      <w:r>
        <w:rPr>
          <w:b/>
        </w:rPr>
        <w:t>E. 2.2.1</w:t>
      </w:r>
    </w:p>
    <w:p>
      <w:r>
        <w:t>Gemäss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(persönlicher Anwendungsbereich), wonach das Abkommen (nur) für in einem Vertragsstaat oder in beiden Vertragsstaaten ansässige Personen gilt, beschränkt. Zu den unter das Abkommen fallenden Steuern zählt namentlich die Einkommenssteuer (einschliesslich der Steuern vom Gewinn aus der Veräusserung beweglichen oder unbeweglichen Vermögens) und die Körperschaftssteuer in Österreich (vgl. Art. 2 DBA CH-AT, insbesondere Abs. 3 Ziff. 1 Bst. a und b sowie Abs. 2).</w:t>
      </w:r>
    </w:p>
    <w:p>
      <w:r>
        <w:rPr>
          <w:b/>
        </w:rPr>
        <w:t>E. 2.2.2</w:t>
      </w:r>
    </w:p>
    <w:p>
      <w:r>
        <w:t>Art. 26 Abs. 2 DBA CH-AT enthält das sog. Spezialitätsprinzip, wonach die im Rahmen des Informationsaustauschs erhaltenen Daten im Grundsatz ebenso geheim zu halten sind wie die aufgrund des innerstaatlichen Rechts beschafften Informationen und regelt unter welchen Voraussetzungen diese Daten dennoch zugänglich gemacht und weiterverwendet werden dürfen.</w:t>
      </w:r>
    </w:p>
    <w:p>
      <w:r>
        <w:rPr>
          <w:b/>
        </w:rPr>
        <w:t>E. 2.2.3</w:t>
      </w:r>
    </w:p>
    <w:p>
      <w:r>
        <w:t>Nach Art. 26 Abs. 3 DBA CH-AT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Schliesslich besteht auch keine Verpflichtung zur Erteilung von Informationen, die ein Handels-, Geschäfts-, Industrie-, Gewerbe- oder Berufsgeheimnis oder ein Geschäftsverfahren preisgeben würden oder deren Erteilung dem Ordre Public widerspräche (Bst. c).</w:t>
      </w:r>
    </w:p>
    <w:p>
      <w:r>
        <w:rPr>
          <w:b/>
        </w:rPr>
        <w:t>E. 2.2.4</w:t>
      </w:r>
    </w:p>
    <w:p>
      <w:r>
        <w:t>Art. 26 Abs. 5 DBA CH-AT enthält insofern eine Gegenausnahme, als er bestimmt, dass Absatz 3 nicht so auszulegen sei, als könne ein Vertragsstaat die Erteilung von Informationen nur deshalb ablehnen, weil sich die Informationen bei einer Bank, einem sonstigen Finanzinstitut, einem Bevollmächtigten, Beauftragten oder Treuhänder befinden oder weil sie sich auf das Eigentum einer Person beziehen. Ungeachtet des Abs. 3 oder entgegenstehender Bestimmungen des innerstaatlichen Rechts verfügen die Steuerbehörden des ersuchten Vertragsstaats über die Befugnis, die Offenlegung der in diesem Absatz genannten Informationen durchzusetzen.</w:t>
      </w:r>
    </w:p>
    <w:p>
      <w:r>
        <w:rPr>
          <w:b/>
        </w:rPr>
        <w:t>E. 2.3</w:t>
      </w:r>
    </w:p>
    <w:p>
      <w:r>
        <w:t>Im Zusammenhang mit Art. 26 DBA CH-AT ist weiter das zugehörige Schlussprotokoll (eingefügt durch Art. VIII des Protokolls vom 21. März 2006 zur Abänderung des DBA CH-AT [AS 2007 1253], von der Bundesversammlung genehmigt am 6. Oktober 2006 [AS 2007 1251]; ebenfalls unter SR 0.672.916.31) zu beachten.</w:t>
      </w:r>
    </w:p>
    <w:p>
      <w:r>
        <w:rPr>
          <w:b/>
        </w:rPr>
        <w:t>E. 2.3.1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2.3.2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w:t>
      </w:r>
    </w:p>
    <w:p>
      <w:r>
        <w:rPr>
          <w:b/>
        </w:rPr>
        <w:t>E. 2.3.2.2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sog. Listenersuchen Anwendung (vgl. BGE 146 II 150 E. 6.1.3, 143 II 628 E. 5.1).</w:t>
      </w:r>
    </w:p>
    <w:p>
      <w:r>
        <w:rPr>
          <w:b/>
        </w:rPr>
        <w:t>E. 2.3.3</w:t>
      </w:r>
    </w:p>
    <w:p>
      <w:r>
        <w:t>Gemäss Ziff. 2 Bst. c des Schlussprotokolls zum DBA CH-AT (in der am 14. November 2012 in Kraft getretenen Fassung; vgl. AS 2012 6941)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2.4.1</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w:t>
      </w:r>
    </w:p>
    <w:p>
      <w:r>
        <w:rPr>
          <w:b/>
        </w:rPr>
        <w:t>E. 2.4.2</w:t>
      </w:r>
    </w:p>
    <w:p>
      <w:r>
        <w:t>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mit Hinweisen; Urteile des BVGer A-3186/2019 vom 20. August 2020 E. 2.8.3, A-1534/2018 vom 3. August 2020 E. 6.2).</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A-2258/2020 vom 19. Februar 2021 E. 2.2).</w:t>
      </w:r>
    </w:p>
    <w:p>
      <w:r>
        <w:rPr>
          <w:b/>
        </w:rPr>
        <w:t>E. 3</w:t>
      </w:r>
    </w:p>
    <w:p>
      <w:r>
        <w:t>Das vorliegende Verfahren hat - worauf die Vorinstanz in ihrer Vernehmlassung zu Recht hinweist - einen engen inhaltlichen Bezug zum rechtskräftigen Urteil des BVGer A-6532/2020 vom 21. Dezember 2021, welchem dasselbe Amtshilfeersuchen des CLO wie in casu zu Grunde lag. Dem Urteil des BVGer A-6532/2020 vom 21. Dezember 2021 kommt somit für das vorliegende Verfahren Grundsatzcharakter zu (nachfolgend auch: Referenzurteil). Das Bundesverwaltungsgericht kam in diesem Urteil zum Schluss, dass hinreichend konkrete Anhaltspunkte für ein steuerrechtswidriges Verhalten der vom österreichischen Ersuchen betroffenen Personen gegeben seien und eine verbotene «fishing expedition» daher nicht vorliege (E. 4.4.3 f.). Im Folgenden sind die wesentlichen konkreten Rügen der Beschwerdeführerin im Lichte des Urteils des BVGer A-6532/2020 vom 21. Dezember 2021 zu beurteilen. Vorliegend hält die Beschwerdeführerin die Übermittlung der ersuchten Information an das CLO aus verschiedenen Gründen für rechtswidrig und insbesondere für eine unzulässige «fishing expedition». Streitig und im Folgenden zu prüfen sind im Wesentlichen zunächst formelle Punkte (Verfahrensantrag und rechtliches Gehör; E. 3.1), anschliessend die Eintretensvoraussetzungen sowie die Fragen, ob die zur Übermittlung vorgesehenen Informationen für die Steuerpflicht der Beschwerdeführerin in Österreich voraussichtlich erheblich sind (E. 3.2-3.5) und ob deren Übermittlung verhältnismässig ist (E. 3.6).</w:t>
      </w:r>
    </w:p>
    <w:p>
      <w:r>
        <w:rPr>
          <w:b/>
        </w:rPr>
        <w:t>E. 3.1</w:t>
      </w:r>
    </w:p>
    <w:p>
      <w:r>
        <w:t>Vorab ist auf die formellen Aspekte einzugehen.</w:t>
      </w:r>
    </w:p>
    <w:p>
      <w:r>
        <w:rPr>
          <w:b/>
        </w:rPr>
        <w:t>E. 3.1.1</w:t>
      </w:r>
    </w:p>
    <w:p>
      <w:r>
        <w:t>Die Beschwerdeführerin stellt gestützt auf Art. 57 Abs. 1 VwVG den Verfahrensantrag, es seien sämtliche Vorakten beizuziehen. Die Vorinstanz hat dem Bundesverwaltungsgericht zusammen mit der Vernehmlassung vom 16. Februar 2022 (Sachverhalt, Bst. N) sämtliche Akten, in welche die Beschwerdeführerin von der Vorinstanz bereits Einsicht erhielt (Sachverhalt, Bst. C und K), übermittelt. Diese fanden auf diese Weise Eingang in die bundesverwaltungsgerichtlichen Verfahrensakten. Der beschwerdeführerische Verfahrensantrag erweist sich somit als gegenstandslos.</w:t>
      </w:r>
    </w:p>
    <w:p>
      <w:r>
        <w:rPr>
          <w:b/>
        </w:rPr>
        <w:t>E. 3.1.2</w:t>
      </w:r>
    </w:p>
    <w:p>
      <w:r>
        <w:t>Im Weiteren ist zu prüfen, ob die Vorinstanz das rechtliche Gehör der Beschwerdeführerin verletzt hat.</w:t>
      </w:r>
    </w:p>
    <w:p>
      <w:r>
        <w:rPr>
          <w:b/>
        </w:rPr>
        <w:t>E. 3.1.2.1</w:t>
      </w:r>
    </w:p>
    <w:p>
      <w:r>
        <w:t>Die Beschwerdeführerin macht eine Verletzung der Begründungspflicht gemäss Art. 29 der Bundesverfassung der schweizerischen Eidgenossenschaft vom 18. April 1999 (BV, SR 101) und damit eine Verletzung des rechtlichen Gehörs geltend, da die Vorinstanz das Vorbringen betreffend Wohnsitz in [Land] seit Anfang 2008 in der Schlussverfügung vom 17. Dezember 2020 nur ungenügend berücksichtigt, den rechtserheblichen Sachverhalt nur unvollständig festgestellt und nur eine standardisierte Verfügung statt eines Einzelfallentscheids erlassen habe.</w:t>
      </w:r>
    </w:p>
    <w:p>
      <w:r>
        <w:rPr>
          <w:b/>
        </w:rPr>
        <w:t>E. 3.1.2.2</w:t>
      </w:r>
    </w:p>
    <w:p>
      <w:r>
        <w:t>Die Vorinstanz verneint die Verletzung des rechtlichen Gehörs, da aus der Schlussverfügung hinreichend hervorgehe, weshalb die Geltendmachung einer Ansässigkeit oder Steuerpflicht ausserhalb von Österreich, aber auch die Einreichung von Beweisen, welche eine Steuerpflicht in einem Drittstaat bescheinigen würden, die voraussichtliche Erheblichkeit der ersuchten Informationen nicht zu entkräften vermöchten. Gestützt auf die Ausführungen sei die Beschwerdeführerin ohne Weiteres in der Lage gewesen, die Tragweite der Schlussverfügung zu verstehen und diese in voller Kenntnis der Sachlage anzufechten.</w:t>
      </w:r>
    </w:p>
    <w:p>
      <w:r>
        <w:rPr>
          <w:b/>
        </w:rPr>
        <w:t>E. 3.1.3</w:t>
      </w:r>
    </w:p>
    <w:p>
      <w:r>
        <w:t>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In der angefochtenen Schlussverfügung der Vorinstanz vom 17. Dezember 2020 werden die entscheidwesentlichen Faktoren hinlänglich festgestellt und gewürdigt, so dass die Beschwerdeführerin sich über dessen Tragweite ein Bild machen konnte. Aus den präzisen tatsächlichen und rechtlichen Vorbringen in der Beschwerde und in der Replik ergibt sich denn auch zweifellos, dass die Beschwerdeführerin in der Lage war, die vorinstanzliche Schlussverfügung vom 17. Dezember 2020 sachgerecht anzufechten (zum Ganzen: BGE 142 II 49 E. 9.2 m.w.H.). Der Vorwurf der Verletzung der vorinstanzlichen Untersuchungspflicht und des rechtlichen Gehörs ist somit unbegründet.</w:t>
      </w:r>
    </w:p>
    <w:p>
      <w:r>
        <w:rPr>
          <w:b/>
        </w:rPr>
        <w:t>E. 3.2</w:t>
      </w:r>
    </w:p>
    <w:p>
      <w:r>
        <w:t>Sodann ist auf die Frage der Rechtmässigkeit der Amtshilfeleistung einzugehen und in diesem Zusammenhang insbesondere darauf, ob das vorliegende Listenersuchen den erhöhten Anforderungen genügt, um eine verbotene Beweisausforschung (sog. «fishing expedition») auszuschliessen. Das Bundesverwaltungsgericht hat diese Fragen im Referenzurteil ausführlich geprüft und dabei in seinem Urteil A-6532/2020 vom 21. Dezember 2021 Folgendes erwogen:</w:t>
      </w:r>
    </w:p>
    <w:p>
      <w:r>
        <w:rPr>
          <w:b/>
        </w:rPr>
        <w:t>E. 3.2.1.1</w:t>
      </w:r>
    </w:p>
    <w:p>
      <w:r>
        <w:t>Zur Frage, ob die Vorinstanz zu Recht auf das Amtshilfeersuchen des CLO vom 16. Februar 2017 eingetreten ist, hielt das Bundesverwaltungsgericht dafür, das vorliegend zu beurteilende Amtshilfeersuchen stütze sich auf eine Liste mit ursprünglich über 8000 eindeutig zuordenbaren Kundenstammnummern, mithilfe derer die ESTV und die zur Edition aufgeforderte Bank die betroffenen Personen in der Folge identifizieren und die ersuchten Informationen hätten zusammenstellen können. Nebst den erwähnten Banknummern enthalte das Ersuchen weder Namen noch Adressen der betroffenen Personen. Ein solches «Listenersuchen» stelle nach der gefestigten Rechtsprechung eine nach innerstaatlichem Recht grundsätzlich zulässige Sammlung von Einzelersuchen dar, welche nicht mit einem Gruppenersuchen im Sinn von Art. 3 Bst. c StAhiG zu verwechseln sei (Urteil des BVGer A-6532/2020 vom 21. Dezember 2021 E. 4.2.1). Des Weiteren enthalte das Amtshilfeersuchen auch die weiteren erforderlichen Angaben gemäss Ziff. 2 Bst. c des Schlussprotokolls zum DBA CH-AT (Urteil des BVGer A-6532/2020 vom 21. Dezember 2021 E. 4.2.3).</w:t>
      </w:r>
    </w:p>
    <w:p>
      <w:r>
        <w:rPr>
          <w:b/>
        </w:rPr>
        <w:t>E. 3.2.1.2</w:t>
      </w:r>
    </w:p>
    <w:p>
      <w:r>
        <w:t>In Bezug auf das Subsidiaritätsprinzips nach Ziff. 2 Bst. a des Schlussprotokolls zum DBA CH-AT habe die ersuchende Behörde im Amtshilfeersuchen bestätigt, dass alle üblichen Informationsquellen ausgeschöpft worden seien, auf die sie in diesem Fall hätte zugreifen können, um die erforderlichen Informationen einzuholen, ohne das Risiko einzugehen, das Ergebnis der Ermittlungen zu gefährden. Nach dem völkerrechtlichen Vertrauensprinzip bestehe grundsätzlich kein Anlass, an Erklärungen anderer Staaten zu zweifeln. Mangels gegenteiliger, konkreter Anhaltspunkte sei damit von der Einhaltung des Subsidiaritätsprinzips auszugehen (Urteil des BVGer A-6532/2020 vom 21. Dezember 2021 E. 4.3).</w:t>
      </w:r>
    </w:p>
    <w:p>
      <w:r>
        <w:rPr>
          <w:b/>
        </w:rPr>
        <w:t>E. 3.2.2</w:t>
      </w:r>
    </w:p>
    <w:p>
      <w:r>
        <w:t>Zur Frage, ob das vorliegende Listenersuchen den erhöhten Anforderungen genügt, um eine verbotene Beweisausforschung (sog. «fishing expedition») auszuschliessen, äusserte sich das Bundesverwaltungsgericht im Referenzurteil wie folgt:</w:t>
      </w:r>
    </w:p>
    <w:p>
      <w:r>
        <w:rPr>
          <w:b/>
        </w:rPr>
        <w:t>E. 3.2.2.1</w:t>
      </w:r>
    </w:p>
    <w:p>
      <w:r>
        <w:t>Erforderlich sei erstens, dass das Ersuchen eine detaillierte Beschreibung der Gruppe enthalte, welche die Tatsachen und speziellen Umstände nennt, die zum Ersuchen geführt hätten. Das vorliegende Ersuchen [des CLO] identifiziere die betroffenen Personen mittels eindeutig zuordenbaren Kundenstammnummern. Eine hinreichend detaillierte Beschreibung der Gruppe sei damit vorliegend zu bejahen (Urteil des BVGer A-6532/2020 vom 21. Dezember 2021 E. 4.4.1).</w:t>
      </w:r>
    </w:p>
    <w:p>
      <w:r>
        <w:rPr>
          <w:b/>
        </w:rPr>
        <w:t>E. 3.2.2.2</w:t>
      </w:r>
    </w:p>
    <w:p>
      <w:r>
        <w:t>Gemäss der dritten Voraussetzung habe die ersuchende Behörde aufzuzeigen, dass die verlangten Informationen geeignet seien, für die Erfüllung der steuerlichen Verpflichtungen der Steuerpflichtigen zu sorgen. Auch dieses Kriterium sei vorliegend erfüllt. Mit der Aufdeckung eines bisher im Rahmen der Steuererklärung nicht deklarierten Kontos - sofern ein solches bestehe - erhalte der ersuchende Staat die Möglichkeit, allfällige von Steuerpflichtigen zu Unrecht nicht entrichtete Steuern nachzufordern (Urteil des BVGer A-6532/2020 vom 21. Dezember 2021 E. 4.4.2).</w:t>
      </w:r>
    </w:p>
    <w:p>
      <w:r>
        <w:rPr>
          <w:b/>
        </w:rPr>
        <w:t>E. 3.2.3</w:t>
      </w:r>
    </w:p>
    <w:p>
      <w:r>
        <w:t>Was die verbleibende zweite Voraussetzung betreffe, so müsse das Amtshilfeersuchen das anwendbare Steuerrecht und die Motive darlegen, die es erlauben würden, davon auszugehen, dass die vom Ersuchen betroffenen Steuerpflichtigen ihre steuerlichen Verpflichtungen nicht erfüllt hätten. Das hier streitbetroffene Amtshilfeersuchen Österreichs bezeichne unbestrittenermassen das anwendbare Steuerrecht. Fraglich und zu prüfen bleibe, ob auch hinreichende Motive für die Annahme von Steuerpflichtverletzungen genannt werden (Urteil des BVGer A-6532/2020 vom 21. Dezember 2021 E. 4.4.3). Die einschlägige bundesgerichtliche Rechtsprechung hat das Bundesverwaltungsgericht im Referenzurteil wie folgt dargelegt:</w:t>
      </w:r>
    </w:p>
    <w:p>
      <w:r>
        <w:rPr>
          <w:b/>
        </w:rPr>
        <w:t>E. 3.2.3.1</w:t>
      </w:r>
    </w:p>
    <w:p>
      <w:r>
        <w:t>Gemäss der Rechtsprechung müssten für die Annahme einer Missachtung steuerrechtlicher Verpflichtungen konkrete Anhaltspunkte bzw. Verdachtsmomente vorliegen, wobei sich diese nicht auf die einzelnen Individuen bezögen, wohl aber in allgemeiner Weise auf die Personen in dieser Gruppe. Je nach den Umständen könne auch die Art und Weise, wie der ersuchende Staat Kenntnis von der Liste erlangt habe, ein Indiz dafür sein, dass die Kontoinhaber ihre steuerrechtlichen Verpflichtungen nicht eingehalten hätten (Urteil des BGer 2C_695/2017 vom 29. Oktober 2018 E. 5.2; Urteil des BVGer A-6532/2020 vom 21. Dezember 2021 E. 4.4.3.1). Solche hinreichenden Anhaltspunkte habe das Bundesgericht namentlich in folgenden zwei Fallkonstellationen bejaht: Im einen Fall habe das Amtshilfeverfahren auf einem Listenersuchen Frankreichs basiert. Dabei seien die dem Ersuchen zugrundeliegenden Daten (im Urteil bezeichnet als Listen A, B und C) anlässlich einer von der Staatsanwaltschaft Bochum durchgeführten Hausdurchsuchung bei einer deutschen Gruppengesellschaft der UBS im Mai 2012 und im Juli 2013 gefunden worden. Das Bundesgericht habe erwogen, dass erste Überprüfungen der ersuchenden Behörde hinsichtlich der Liste A, welche die Namen von 1'130 Personen auswies, gezeigt hätten, dass die betroffenen Steuerpflichtigen ihr Konto entweder nicht deklariert oder bereits zu einem früheren Zeitpunkt regularisiert gehabt hätten. Es habe eine Verbindung zwischen der Liste A und den Listen B (betreffend Jahr 2006) und C (betreffend Jahr 2008) als gegeben erachtet, wobei die Listen B und C zwar keine Namen enthalten hätten aber einen Domizilcode, der auf eine Ansässigkeit in Frankreich hingedeutet habe. Das Gericht habe hervorgehoben, dass gegen die Bank ein Strafverfahren in Frankreich eingeleitet worden sei und ihr der Aufbau eines Steuerfluchtsystems zur Last gelegt werde. Es sei zum Schluss gekommen, dass diese Anhaltspunkte zusammen betrachtet einen hinreichenden Verdacht auf steuerrechtswidriges Verhalten der mittels Banknummern identifizierten Personen der Listen B und C begründet hätten. Weiter habe es den Umstand, dass die Listen B und C bei einer Hausdurchsuchung im Rahmen einer Steuerstrafuntersuchung in Deutschland gefunden worden seien, als zusätzliches Indiz für ein steuerrechtswidriges Verhalten gewertet (vgl. BGE 146 II 150 E. 6.2.5 f.; zum Ganzen: Urteil des BVGer A-6532/2020 vom 21. Dezember 2021 E. 4.4.3.2). Im anderen Fall habe dem Verfahren ein Amtshilfeersuchen aus Deutschland zugrunde gelegen, welches die betroffene Person mittels einer Kontonummer identifiziert habe. Das Bundesgericht habe die Tatsache, dass die ersuchende Behörde die Kontonummer kenne und wisse, dass darauf ein hoher Geldbetrag liegt, für sich allein genommen noch nicht als Indiz dafür gewertet, dass dieser Geldbetrag nicht oder nicht ordnungsgemäss versteuert worden sei. Als ausschlaggebend habe es vielmehr erachtet, dass gemäss der Schilderung der ersuchenden Behörde durch einen Zufallsfund (anlässlich einer Durchsuchung der Geschäftsräume einer Bank mit Sitz in Frankfurt) Listen mit Kundendaten in Form von Kundenstammnummern, Alter, Domizil und Einlagehöhe in einer verborgenen Datei auf dem Personal Computer einer Mitarbeiterin habe gesichert werden können. Der Umstand, dass diese Daten nicht regulär im Systembackup der Bank vorhanden gewesen seien, habe es als Indiz dafür gewertet, dass die betreffenden Konten möglicherweise verdeckt hätten geführt werden sollen und allenfalls nicht gesetzeskonform deklariert worden seien. Dieses Indiz in Kombination mit den übrigen Umständen (Ermittlungsverfahren bei der Bank mit anschliessender Beschlagnahmung der Daten sowie hohe Summe auf dem betreffenden Konto) stelle gemäss Bundesgericht einen konkreten Hinweis auf Unregelmässigkeiten dar. Das Bundesgericht habe im Ergebnis eine unzulässige Beweisausforschung verneint (Urteil des BGer 2C_695/2017 vom 29. Oktober 2018 E. 5, insbes. E. 5.3.1; zum Ganzen: Urteil des BVGer A-6532/2020 vom 21. Dezember 2021 E. 4.4.3.2).</w:t>
      </w:r>
    </w:p>
    <w:p>
      <w:r>
        <w:rPr>
          <w:b/>
        </w:rPr>
        <w:t>E. 3.2.3.2</w:t>
      </w:r>
    </w:p>
    <w:p>
      <w:r>
        <w:t>Wie im oben erwähnten, bereits gerichtlich beurteilten Listenersuchen Frankreichs stütze sich auch das vorliegende Amtshilfeersuchen auf (von den deutschen Behörden zur Verfügung gestellte) Listen mit Banknummern und Vermögensdaten der Jahre 2006 und 2008, die anlässlich einer Hausdurchsuchung der deutschen Strafverfolgungsbehörden bei einer Niederlassung der UBS in Frankfurt aufgefunden worden seien. Mit anderen Worten würde das vorliegende Listenersuchen Österreichs und das erwähnte Listenersuchen Frankreichs auf Daten derselben Quelle basieren. Es sei zwischenzeitlich gerichtsnotorisch, dass sich diese «Listen» - wie betreffend das oben zitierte Urteil 2C_695/2017 vom 29. Oktober 2018 ausgeführt - mutmasslich auf einer verborgenen Datei auf dem PC einer Bankmitarbeiterin befunden hätten (siehe Urteil des BVGer A-1534/2018 vom 3. August 2020 E. 3.6; Beschlüsse des Bundesstrafgerichts BB.2019.61 und BB.2019.63 vom 20. November 2019). Weiter habe die spontane Übermittlung der erwähnten «Listen» von Deutschland nach Österreich - wie sich aus dem Ersuchen ergebe - gestützt auf die europäische Richtlinie 2011/16 vom 15. Februar 2011 über die Zusammenarbeit der Verwaltungsbehörden im Bereich der Besteuerung und zur Aufhebung der Richtlinie 77/799/EWG (ABl. L 64/1 vom 11. März 2011) stattgefunden. Ein solch spontaner Informationsaustausch sei u. a. vorgesehen, wenn die zuständige Behörde eines Mitgliedstaats Gründe für die Vermutung einer Steuerverkürzung im anderen Mitgliedstaat hat (s. Abschn. II Art. 9 Abs. 1 Bst. a der Richtlinie 2011/16; zum Ganzen: Urteil des BVGer A-6532/2020 vom 21. Dezember 2021 E. 4.4.3.2). Der Bezug zu Österreich werde vorliegend über die in der Liste erwähnten Domizilcodes hergestellt. Gemäss Amtshilfeersuchen habe sodann ein Abgleich der auf der Liste enthaltenen Kundenstammnummern auf Basis von zwei Abkommen mit der Schweiz (Sachverhalt Bst. A.b in fine) zur Zuordnung und Aussonderung von über 370 Konten geführt. Dies zeige, dass sich zumindest in diesen Fällen der Domizilcode als korrekt erwiesen habe. Sodann sei der Domizilcode auch bereits beim französischen Listenersuchen, das auf Daten derselben Quelle beruht habe, als genügend erachtet worden (vgl. BGE 146 II 150 E. 6.2.6 f.; Urteil des BVGer A-1562/2018 vom 3. August 2020 E. 4.2). Gemäss Angaben der ersuchenden Behörde würden sich die in der «Liste» ausgewiesenen Vermögenswerte auf [mehrere] Milliarden Schweizer Franken belaufen und damit eine erhebliche Summe darstellen (Urteil des BVGer A-6532/2020 vom 21. Dezember 2021 E. 4.4.3.2). Wie bereits erwähnt, genüge es nach der höchstrichterlichen Rechtsprechung für die Vermutung von Steuerpflichtverletzungen, dass die dem Amtshilfeersuchen zugrundeliegenden Daten nicht regulär im Systembackup der Bank vorhanden gewesen seien, ein Ermittlungsverfahren bei der Bank mit anschliessender Beschlagnahmung der Daten sowie eine hohe Summe von Vermögenswerten betroffen seien. Dies decke sich mit der Ausgangslage im Referenzurteil und es komme hinzu, dass die den Referenzurteil betreffenden Daten aus derselben Quelle stammen würden, die auch dem vom Bundesgericht als zulässig qualifizierten Listenersuchen Frankreichs zugrunde gelegen habe. Vor diesem Hintergrund sei hinsichtlich des Referenzurteils das Vorliegen hinreichend konkreter Anhaltspunkte für ein steuerrechtswidriges Verhalten der betroffenen Personen - und damit der (dortigen) Beschwerdeführenden - im dort streitbetroffenen Amtshilfeersuchen des CLO zu bejahen. Eine verbotene «fishing expedition», welche ein Nichteintreten auf das Amtshilfeersuchen nach sich ziehen müsste, liege daher nicht vor (Urteil des BVGer A-6532/2020 vom 21. Dezember 2021 E. 4.4.3.2).</w:t>
      </w:r>
    </w:p>
    <w:p>
      <w:r>
        <w:rPr>
          <w:b/>
        </w:rPr>
        <w:t>E. 3.3</w:t>
      </w:r>
    </w:p>
    <w:p>
      <w:r>
        <w:t>An diesen Erwägungen ist für den vorliegenden Fall vollumfänglich festzuhalten. Die diesbezüglichen nachfolgenden Vorbringen der Beschwerdeführerin vermögen an dieser Rechtsprechung nichts zu ändern.</w:t>
      </w:r>
    </w:p>
    <w:p>
      <w:r>
        <w:rPr>
          <w:b/>
        </w:rPr>
        <w:t>E. 3.4.1</w:t>
      </w:r>
    </w:p>
    <w:p>
      <w:r>
        <w:t>Gemäss Beschwerdeführerin befindet sich ihr Wohnsitz seit dem 29. Februar 2008 nachweislich in [Land]. Das DBA CH-AT und auch das StAhiG würden auf das vorliegende Verfahren deshalb keine Anwendung finden, womit es dem Ersuchen an einer gesetzlichen Grundlage mangle. Aus diesem Grund fehle es an der voraussichtlichen Erheblichkeit der ersuchten Informationen. Das Ersuchen des CLO stütze sich auf Daten, die mittlerweile 14 Jahre alt seien. Für diesen Zeitraum wäre ohnehin die Verjährung eingetreten. Nun auf die Jahre 2012 ff. aufgrund der Daten aus 2006 und 2008 zu schliessen, komme einer «fishing expedition» gleich. Sie (die Beschwerdeführerin) unterliege erwiesenermassen keiner Steuerpflicht in Österreich ab 2012. Im Referenzurteil werde festgehalten, dass das DBA AT-CH ab dem 1. März 2011 anwendbar sei, ab einem Zeitpunkt also, als sie keinen Wohnsitz mehr in Österreich gehabt habe. Das Referenzurteil sei daher vorliegend nicht einschlägig. Die Vorinstanz verweist auf die verschiedenen Rechtsgrundlagen, wie Art. 26 DBA CH-AT, die bundesgerichtliche Rechtsprechung sowie insbesondere auf das Referenzurteil und die dortigen Ausführungen zum Bezug zu Österreich durch die in der Liste der UBS aufgeführten Domizilcodes. Die Beschwerdeführerin habe selbst bestätigt, im Zeitraum vom 23. April 2007 bis 29. Februar 2008 in Österreich wohnhaft gewesen zu sein und während dieses Zeitraums der österreichischen Steuerpflicht unterlegen zu haben. Es sei nicht schädlich, dass sich das Amtshilfeersuchen auf Angaben aus den Jahren 2006 und 2008 stütze, während Auskünfte für die Jahre 2012 bis 2015 ersucht würden. Die Vorlage von Unterlagen, die eine Besteuerung in einem Drittstaat belegen würden, vermöge die voraussichtliche Erheblichkeit der ersuchten Informationen nicht zu entkräften und schliesse ein Steuerdomizil in Österreich während des betreffenden Zeitraums nicht aus. Die von der Beschwerdeführerin vorgebrachten Umstände für den Nachweis eines steuerrechtlichen Wohnsitzes in einem Drittstaat seien von ihr im innerstaatlichen, österreichischen Steuerverfahren geltend zu machen. Zudem spiele es keine Rolle, wenn sich die ersuchten Informationen nach ihrer Bereitstellung letztlich als unerheblich erweisen würden.</w:t>
      </w:r>
    </w:p>
    <w:p>
      <w:r>
        <w:rPr>
          <w:b/>
        </w:rPr>
        <w:t>E. 3.4.2</w:t>
      </w:r>
    </w:p>
    <w:p>
      <w:r>
        <w:t>Die Beschwerdeführerin bestreitet zu Recht nicht, dass auch im Anwendungsbereich des DBA CH-AT ein («Listenersuchen») grundsätzlich zulässig ist (E. 3.2.1.1). Des Weiteren enthält das Amtshilfeersuchen auch die weiteren erforderlichen Angaben gemäss Ziff. 2 Bst. c des Schlussprotokolls zum DBA CH-AT (Sachverhalt, Bst. A.b und A.c; E. 2.3.3 und E. 3.2.1.1). Auch vorliegend ist mangels gegenteiliger, konkreter Anhaltspunkte von der Einhaltung des Subsidiaritätsprinzips (E. 2.3.1) auszugehen. Das Bundesverwaltungsgericht hat im Referenzurteil bereits entschieden, dass sich wie im bundesgerichtlich beurteilten Listenersuchen Frankreichs (E. 3.2.3.2) auch das vorliegende Amtshilfeersuchen des CLO auf Daten derselben Quelle («Listen») basieren. Wie ebenfalls erwähnt begründet die Kombination der Tatsache, dass Listen mit Kundendaten nicht regulär im Systembackup der Bank vorhanden gewesen sind mit den übrigen Umständen (Ermittlungsverfahren bei der Bank mit anschliessender Beschlagnahmung der Daten sowie hohe Summe auf dem betreffenden Konto) einen konkreten Hinweis auf Unregelmässigkeiten (E. 3.2.3.1). Die Übermittlung der in E. 3.2.3.1 und E. 3.2.3.2 erwähnten «Listen» von Deutschland nach Österreich fand zudem auf legalem Weg der spontanen Amtshilfe von Deutschland statt (E. 3.2.3.2). Demnach können diese Daten sehr wohl Basis für das vorliegend zu beurteilende Amtshilfeersuchen des CLO bilden. Gemäss Referenzurteil wird der relevante Bezug zu Österreich über die in der Liste erwähnten Domizilcodes hergestellt. Damit seien hinreichende (statistische) Hinweise auf eine Steuerunehrlichkeit der vom Amtshilfeersuchen betroffenen Personen gegeben, zumal für die Zulässigkeit eines Listenersuchens ein globaler Verdacht für eine Steuerhinterziehung ausreichend sei. Sodann seien der Domizilcode auch bereits beim französischen Listenersuchen, das auf Daten derselben Quelle beruht habe, als genügend erachtet worden. Gemäss Angaben der ersuchenden Behörde belaufen sich die in der «Liste» ausgewiesenen Vermögenswerte auf über [mehrere] Milliarden Schweizer Franken, mithin auf eine erhebliche Summe (E. 3.2.3.2). Daran ist festzuhalten. Im Referenzurteil hat das Bundesverwaltungsgericht überdies festgehalten, dass es nicht im Rahmen des Amtshilfeverfahrens zu klären sei, wo letztendlich der Steuerwohnsitz liege, und es sei in diesem Verfahren auch nicht Aufgabe der Schweizer Behörden zu prüfen, ob nach österreichischem Recht ein Steuerwohnsitz in Österreich bestehe (dortige E. 5.2 m.w.H.). Die genannten Umstände möchten im Rahmen des Ansässigkeitsstreits wesentlich sein, der jedoch in einem anderen Verfahren durchzuführen sei. Damit ist - wie bereits im Referenzurteil (E. 5.2) - von der voraussichtlichen Erheblichkeit der vorliegend zur Übermittlung vorgesehenen Informationen betreffend die Beschwerdeführerin auszugehen. Diese ist für den Nachweis ihres steuerrechtlichen Wohnsitzes in einem Drittstaat vorab auf das innerstaatliche, österreichische Steuerverfahren zu verweisen. Anzufügen bleibt ferner, dass sich auch die Frage der Verjährung nach dem ausländischen Recht des ersuchenden Staats richtet und vor den dortigen Behörden geltend zu machen ist (Urteile des BGer 2C_662/2021, 2C_663/2021 vom 18. März 2022 E. 5.4 ff.; 2C_800/2020 vom 7. Oktober 2020 E. 4 und E. 6.3 i.f.). Anders liegen die Dinge nur dann, wenn Gründe für die Annahme bestehen, dass im ausländischen Verfahren elementare Verfahrensgrundsätze verletzt werden könnten oder anderweitig schwere Mängel bestünden. Solche Gründe macht die Beschwerdeführerin indes nicht geltend, es sind für das Bundesverwaltungsgericht nach Aktenlage auch keine ersichtlich (BGE 144 II 206 E. 4.6 m.w.H.). Für die voraussichtliche Erheblichkeit reicht schliesslich aus, dass die ersuchten Informationen für eine Verwendung im ausländischen Verfahren als potenziell geeignet erscheinen (BGE 144 II 206 E. 4.3 m.w.H.). Die Beschwerdeführerin vermag somit weder mit ihrem Argument der Nichtansässigkeit in Österreich während des ersuchten Zeitraums noch mit demjenigen der möglichen Verjährung der Steuerschulden in Österreich durchzudringen.</w:t>
      </w:r>
    </w:p>
    <w:p>
      <w:r>
        <w:rPr>
          <w:b/>
        </w:rPr>
        <w:t>E. 3.5</w:t>
      </w:r>
    </w:p>
    <w:p>
      <w:r>
        <w:t>Zusammenfassend zeichnet sich vorliegend - wie auch im Referenzurteil - das folgende Bild: Es genügt nach der höchstrichterlichen Rechtsprechung für die Vermutung von Steuerpflichtverletzungen, dass die dem Amtshilfeersuchen zugrundeliegenden Daten nicht regulär im Systembackup der Bank vorhanden waren, ein Ermittlungsverfahren bei der Bank mit anschliessender Beschlagnahmung der Daten sowie eine hohe Summe von Vermögenswerten betroffen sind. Dies deckt sich mit der vorliegenden Ausgangslage. Es kommt hinzu, dass die vorliegenden Daten aus derselben Quelle stammen, die auch dem vom Bundesgericht als zulässig qualifizierten Listenersuchen Frankreichs zugrunde lag (E. 3.2.3.2). Vor diesem Hintergrund ist in casu das Vorliegen hinreichend konkreter Anhaltspunkte für ein steuerrechtswidriges Verhalten der betroffenen Personen - und damit der Beschwerdeführerin - im hier streitbetroffenen Amtshilfeersuchen des CLO zu bejahen. Eine verbotene «fishing expedition», welche ein Nichteintreten auf das Amtshilfeersuchen nach sich ziehen müsste, liegt daher nicht vor. Nach dem Dargelegten ergibt sich überdies zur Frage der voraussichtlichen Erheblichkeit der ersuchten Informationen Folgendes: Für die Bejahung der voraussichtlichen Erheblichkeit genügt wie erwähnt eine vernünftige Möglichkeit im Zeitpunkt der Einreichung des Amtshilfeersuchens, dass sich die verlangten Informationen als erheblich erweisen werden (E. 2.3.2.1). Weil vorliegend wie gezeigt hinreichend konkrete Hinweise für Unregelmässigkeiten in der Steuerabwicklung bestehen, sind die ersuchten Informationen geeignet, für die mögliche Erfüllung der steuerlichen Verpflichtungen der Beschwerdeführerin zu sorgen (E. 3.2.2.2). Damit ist von der voraussichtlichen Erheblichkeit der vorliegend zur Übermittlung vorgesehenen Informationen betreffend die Beschwerdeführerin auszugehen.</w:t>
      </w:r>
    </w:p>
    <w:p>
      <w:r>
        <w:rPr>
          <w:b/>
        </w:rPr>
        <w:t>E. 3.6</w:t>
      </w:r>
    </w:p>
    <w:p>
      <w:r>
        <w:t>Schliesslich ist die Verhältnismässigkeit der Übermittlung der ersuchten Informationen zu prüfen.</w:t>
      </w:r>
    </w:p>
    <w:p>
      <w:r>
        <w:rPr>
          <w:b/>
        </w:rPr>
        <w:t>E. 3.6.1</w:t>
      </w:r>
    </w:p>
    <w:p>
      <w:r>
        <w:t>Für die Beschwerdeführerin bedeutet die Herausgabe der Daten an die ersuchende Behörde eine Verletzung des Verhältnismässigkeitsprinzips nach Art. 5 Abs. 2 BV. Auch in persönlicher Hinsicht sei die Herausgabe der Daten der Beschwerdeführerin nicht erforderlich. Die Herausgabe von Daten habe sich auf die im ersuchten Zeitraum in der Republik Österreich ansässigen Personen zu beschränken. Nicht nur der Gesetzgeber habe verhältnismässig zu handeln, sondern auch alle Behörden seien an Art. 5 Abs. 2 BV gebunden. Dies habe zur Folge, dass jeder Fall einzeln zu prüfen sei, was mit einer standardisierten Verfügung nicht möglich sei. Laut Vorinstanz erfüllt das vorliegende österreichische Amtshilfeersuchen alle Voraussetzungen nach Art. 26 DBA CH-AT. Darüber hinaus unterlägen Gesetze (in casu das StAhiG) als auch internationale Abkommen (in casu das DBA CH-AT) aufwendigen Ausarbeitungs- und Genehmigungsprozessen, die sicherstellen würden, dass vorgesehene Einschränkungen der Rechte betroffener Personen verhältnismässig seien. So sehe das DBA CH-AT etwa vor, dass nur Informationen übermittelt werden dürften, die «voraussichtlich erheblich» seien.</w:t>
      </w:r>
    </w:p>
    <w:p>
      <w:r>
        <w:rPr>
          <w:b/>
        </w:rPr>
        <w:t>E. 3.6.2</w:t>
      </w:r>
    </w:p>
    <w:p>
      <w:r>
        <w:t>Die Frage der Ansässigkeit der Beschwerdeführerin im ersuchten Zeitraum vom 1. Januar 2012 bis 31. Dezember 2015 (Sachverhalt, Bst. A.c) ist vorliegend wie gesehen irrelevant (E. 3.4.2). Dass die angefochten Schlussverfügung der Vorinstanz vom 17. Dezember 2020 hinreichend (individuell) begründet und demnach nicht von einer in casu ungenügend substantiierten «standardisierten Verfügung» auszugehen ist, hat das Bundesverwaltungsgericht bereits erkannt (E. 3.1.3). Ebenso ergibt sich aus der festgestellten voraussichtlichen Erheblichkeit der ersuchten Informationen für die Prüfung der allfälligen Steuerpflicht der Beschwerdeführerin in Österreich für den ersuchten Zeitraum (E. 3.5) ohne Weiteres deren Geeignetheit und Erforderlichkeit zu ebendiesem Zweck. Der Beschwerdeführerin stehen schliesslich im allfälligen österreichischen Steuerverfahren weitere Rechtsschutzmöglichkeiten zur Verfügung (E. 3.4.2). Daher ist der Beschwerdeführerin die Übermittlung der ersuchten Informationen auch zumutbar. Die Übermittlung der ersuchten Informationen erweist sich folglich als verhältnismässig.</w:t>
      </w:r>
    </w:p>
    <w:p>
      <w:r>
        <w:rPr>
          <w:b/>
        </w:rPr>
        <w:t>E. 4</w:t>
      </w:r>
    </w:p>
    <w:p>
      <w:r>
        <w:t>Zusammenfassend ist das Vorliegen hinreichend konkreter Anhaltspunkte für ein steuerrechtswidriges Verhalten der betroffenen Personen - und damit der Beschwerdeführerin - im hier streitbetroffenen Amtshilfeersuchen des CLO zu bejahen. Eine verbotene «fishing expedition», welche ein Nichteintreten auf das Amtshilfeersuchen nach sich ziehen müsste, liegt daher nicht vor. Die vom CLO ersuchten Informationen sind zudem als voraussichtlich erheblich zur Besteuerung der Beschwerdeführerin zu qualifizieren und dementsprechend zu übermitteln.</w:t>
      </w:r>
    </w:p>
    <w:p>
      <w:r>
        <w:rPr>
          <w:b/>
        </w:rPr>
        <w:t>E. 5</w:t>
      </w:r>
    </w:p>
    <w:p>
      <w:r>
        <w:t>Nach dem Gesagten sind die Voraussetzungen für die in der Schlussverfügung vorgesehene Amtshilfeleistung erfüllt. Die Beschwerde erweist sich als unbegründet und ist vollumfänglich abzuweisen.</w:t>
      </w:r>
    </w:p>
    <w:p>
      <w:r>
        <w:rPr>
          <w:b/>
        </w:rPr>
        <w:t>E. 6.1</w:t>
      </w:r>
    </w:p>
    <w:p>
      <w:r>
        <w:t>Ausgangsgemäss hat die Beschwerdeführerin die auf Fr. 5'000.-- festzusetzenden Verfahrenskosten zu tragen (vgl. Art. 63 Abs. 1 VwVG und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6.2</w:t>
      </w:r>
    </w:p>
    <w:p>
      <w:r>
        <w:t>Der unterliegenden Beschwerdeführerin ist keine Parteientschädigung zuzusprechen (vgl. Art. 64 Abs. 1 VwVG e contrario und Art. 7 Abs. 1 VGKE e contrario).</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