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A-273/2021 vom 24. Februar 2023</w:t>
      </w:r>
    </w:p>
    <w:p>
      <w:r>
        <w:t>Bundesverwaltungsgericht, 2023-02-24, DE</w:t>
      </w:r>
    </w:p>
    <w:p>
      <w:r>
        <w:rPr>
          <w:b/>
        </w:rPr>
        <w:t xml:space="preserve">Quelle: </w:t>
      </w:r>
      <w:r>
        <w:t>https://mcp.opencaselaw.ch/entscheid/bvger_A-273_2021</w:t>
      </w:r>
    </w:p>
    <w:p>
      <w:r>
        <w:t>FR: TAF A-273/2021 du 24 février 2023</w:t>
      </w:r>
    </w:p>
    <w:p>
      <w:r>
        <w:t>IT: TAF A-273/2021 del 24 febbraio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StAhiG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der ESTV im Bereich der internationalen Amtshilfe in Steuersachen (Art. 32 VGG e contrario und Art. 19 Abs. 1 und 5 StAhiG), womit seine Zuständigkeit zur Beurteilung des vorliegend angefochtenen Entscheids gegeben ist. Das Verfahren vor diesem Gericht richtet sich nach dem VwVG soweit das VGG nichts Anderes bestimmt (Art. 37 VGG i.V.m. Art. 19 Abs. 5 StAhiG).</w:t>
      </w:r>
    </w:p>
    <w:p>
      <w:r>
        <w:rPr>
          <w:b/>
        </w:rPr>
        <w:t>E. 1.3.1</w:t>
      </w:r>
    </w:p>
    <w:p>
      <w:r>
        <w:t>Beschwerdeberechtigt sind gemäss Art. 19 Abs. 2 StAhiG die vom Amtshilfeersuchen direkt betroffene Person sowie weitere Personen unter den Voraussetzungen von Art. 48 VwVG. Die Beschwerdeführenden sind als Verfügungsadressaten und Personen, über die Amtshilfe verlangt wird, ohne Weiteres beschwerdeberechtigt.</w:t>
      </w:r>
    </w:p>
    <w:p>
      <w:r>
        <w:rPr>
          <w:b/>
        </w:rPr>
        <w:t>E. 1.3.2</w:t>
      </w:r>
    </w:p>
    <w:p>
      <w:r>
        <w:t>Die Beschwerde wurde zudem form- und fristgerecht eingereicht (vgl. Art. 50 Abs. 1 VwVG und Art. 52 Abs. 1 VwVG i.V.m. Art. 19 Abs. 5 StAhiG), weshalb darauf einzutreten ist.</w:t>
      </w:r>
    </w:p>
    <w:p>
      <w:r>
        <w:rPr>
          <w:b/>
        </w:rPr>
        <w:t>E. 2.1</w:t>
      </w:r>
    </w:p>
    <w:p>
      <w:r>
        <w:t>Das Bundesverwaltungsgericht kann den angefochtenen Entscheid in vollem Umfang überprüfen. Die Beschwerdeführenden können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m.w.H.;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m.w.H.).</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m.w.H.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 In letzterem Sinne ist Art. 17 Abs. 2 StAhiG anzuwenden, wonach Informationen, welche voraussichtlich nicht erheblich sind, nicht übermittelt werden dürfen und von der ESTV auszusondern oder unkenntlich zu machen sind (statt vieler: Urteile des BVGer A-4143/2018 vom 28. Mai 2019 E. 2.1.5 und A-846/2018 vom 30. August 2018 E. 2.1.4; zum Ganzen: Urteil des BVGer A-1883/2021 vom 22. Februar 2022 E. 3.2.4). Informationen können insbesondere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A-6507/2020 vom 11. Oktober 2022 E. 3.8.4 [bestätigt durch Urteil des BGer 2C_872/2022 vom 8. November 2022], A-5447/2020 vom 6. Oktober 2021 E. 3.2.2.3, A-4811/2019 vom 26. April 2021 E. 5.1 und A-765/2019 vom 20. September 2019 E. 3.3.2.3 [bestätigt durch Urteil des BGer 2C_864/2019 vom 17. August 2020]).</w:t>
      </w:r>
    </w:p>
    <w:p>
      <w:r>
        <w:rPr>
          <w:b/>
        </w:rPr>
        <w:t>E. 2.3.5</w:t>
      </w:r>
    </w:p>
    <w:p>
      <w:r>
        <w:t>Das DBA CH-NL i.V.m. dem Protokoll 2010 zum DBA CH-NL sowie i.V.m. der am 31. Oktober 2011 in Kraft getretenen Verstän-digungsvereinbarung über die Auslegung von Paragraph XVI Bst. b (heute: Paragraph XVII Bst. b) des Protokolls 2010 zum Abkommen (AS 2012 4079; nachfolgend: Verständigungsvereinbarung; zum Zusammenspiel des DBA CH-NL inkl. Protokoll und der Verständigungsvereinbarung im Rahmen der Auslegung vgl. BGE 143 II 136 E. 5.2.1 f.) erlaubt Amtshilfe auch für Ersuchen ohne Identifikation durch Namen (BGE 143 II 136 E. 5.4, erneut bestätigt im: Urteil des BGer 2C_646/2017 vom 9. April 2018 E. 3.3; zum Ganzen: Urteil des BVGer A-1883/2021 vom 22. Februar 2022 E. 3.2.5).</w:t>
      </w:r>
    </w:p>
    <w:p>
      <w:r>
        <w:rPr>
          <w:b/>
        </w:rPr>
        <w:t>E. 2.3.5.1</w:t>
      </w:r>
    </w:p>
    <w:p>
      <w:r>
        <w:t>Nach der bundesgerichtlichen Rechtsprechung sind Ersuchen, die eine Mehrzahl von Personen betreffen und welche die betroffenen Personen namentlich oder mittels einer Liste mit Nummern - etwa Kreditkarten- oder Bankkontonummern - identifizieren, als eine Sammlung einzelner Ersuchen zu betrachten. Die ersuchende Behörde fasst diese einzelnen Ersuchen aus Gründen der Verfahrensökonomie in einem gemeinsamen Gesuch zusammen, könnte sie aber grundsätzlich auch einzeln stellen. Für solche Ersuchen verwendet das Bundesgericht den Begriff «Listenersuchen» («demande collective»; vgl. BGE 146 II 150 E. 4.3, 143 II 628 E. 4.4 und 5.1; Urteil des BGer 2C_695/2017 vom 29. Oktober 2018 E. 4.4, veröffentlich in: Der Steuerentscheid [StE] 2019 A 31.1 Nr. 14; Urteil des BGer 2C_893/2015 vom 16. Februar 2017 E. 12.1, nicht publ. in: BGE 143 II 202, aber in: Revue de droit Administratif et de droit Fiscal [RDAF] 2017 II S. 336, StE 2017 A 31.2 Nr. 14, SteuerRevue [StR] 72/2017 S. 612; zum Ganzen: Urteil des BVGer A-1883/2021 vom 22. Februar 2022 E. 3.2.5.1).</w:t>
      </w:r>
    </w:p>
    <w:p>
      <w:r>
        <w:rPr>
          <w:b/>
        </w:rPr>
        <w:t>E. 2.3.5.2</w:t>
      </w:r>
    </w:p>
    <w:p>
      <w:r>
        <w:t>Um bei Amtshilfeersuchen, welche die betroffenen Personen nicht namentlich identifizieren, unzulässige Beweisausforschungen, d.h. «fishing expeditions», auszuschliessen, ist nach der bundesgerichtlichen Rechtsprechung verlangt (BGE 143 II 136 E. 6.1.2), dass die ersuchende Behörde in ihrem Ersuchen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können. Diese Kriterien gelten aus Kohärenzgründen nicht nur für die ursprünglich ins Auge gefassten Gruppenersuchen nach Art. 3 Bst. c StAhiG, sondern finden nach der Rechtsprechung ebenfalls auf «Listenersuchen» (E. 2.3.5.1) Anwendung (vgl. BGE 146 II 150 E. 6.1.3, 143 II 628 E. 5.1; Urteil des BVGer A-6532/2020 vom 21. Dezember 2021 E. 3.3.2.2; zum Ganzen: Urteil des BVGer A-1883/2021 vom 22. Februar 2022 E. 3.2.5.2).</w:t>
      </w:r>
    </w:p>
    <w:p>
      <w:r>
        <w:rPr>
          <w:b/>
        </w:rPr>
        <w:t>E. 2.3.5.3</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2.3.5.4</w:t>
      </w:r>
    </w:p>
    <w:p>
      <w:r>
        <w:t>Gemäss Abs. 3 Bst. b der Verständigungsvereinbarung sind die vorstehenden Anforderungen so zu verstehen, dass einem Amtshilfe-gesuch entsprochen wird, wenn der ersuchende Staat, vorausgesetzt, es handelt sich nicht um eine «fishing expedition», zusätzlich zu den gemäss Paragraph XVI Bst. b (heute Paragraph XVII Bst. b) Unterabsätze (ii)-(iv) des Protokolls 2010 zum DBA CH-NL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w:t>
      </w:r>
    </w:p>
    <w:p>
      <w:r>
        <w:rPr>
          <w:b/>
        </w:rPr>
        <w:t>E. 2.4.1</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2.4.2</w:t>
      </w:r>
    </w:p>
    <w:p>
      <w:r>
        <w:t>Was unter dem Begriff der «üblichen Mitteln» zu verstehen ist, wird im DBA CH-NL nicht weiter definiert. Gemäss bundesverwaltungsgerichtlicher Auslegung der fraglichen Bestimmung nach völkerrechtlichen Regeln ergibt sich, dass nicht das Ausschöpfen sämtlicher möglicher Mittel verlangt wird (Urteile des BVGer A-7164/2018 vom 20. Mai 2019 E. 2.5 [bestätigt durch Urteil des BGer 2C_514/2019 vom 17. August 2020], A-3555/2018 vom 11. Januar 2019 E. 3.2.1 und A-4414/2014 vom 8. Dezember 2014 E. 3.1.1). Vielmehr kann ein Mittel als nicht mehr «üblich» bezeichnet werden, wenn es dem ersuchenden Staat - im Vergleich zu einem Amtshilfeersuchen - einen unverhältnismässigen Aufwand verursachen würde oder wenn die Erfolgschancen als sehr gering einzuschätzen sind (Urteil des BVGer A-7164/2018 vom 20. Mai 2019 E. 2.5; zum Ganzen: Urteil des BVGer A-1883/2021 vom 22. Februar 2022 E. 3.3.2).</w:t>
      </w:r>
    </w:p>
    <w:p>
      <w:r>
        <w:rPr>
          <w:b/>
        </w:rPr>
        <w:t>E. 2.5</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sowie 146 I 172 E. 7.1.3; zum Ganzen: Urteil des BVGer A-1883/2021 vom 22. Februar 2022 E. 3.4).</w:t>
      </w:r>
    </w:p>
    <w:p>
      <w:r>
        <w:rPr>
          <w:b/>
        </w:rPr>
        <w:t>E. 2.6.1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und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2.6.2</w:t>
      </w:r>
    </w:p>
    <w:p>
      <w:r>
        <w:t>Der völkergewohnheitsrechtliche Grundsatz, wonach Vertragsstaaten völkerrechtliche Verträge nach Treu und Glauben zu erfüllen haben («pacta sunt servanda», kodifiziert in Art. 26 des Wiener Übereinkommens vom 23. Mai 1969 über das Recht der Verträge [VRK, SR 0.111]; vgl. BGE 143 II 136 E. 5.2.1 und 142 II 35 E. 3.2, je m.w.H.), führt dazu, dass Erklärungen der jeweiligen Vertragspartner ebenfalls nach Treu und Glauben zu interpretieren sind. Dies gilt insbesondere für das Amtshilfeersuchen und die darin von der ersuchenden Behörde als voraussichtlich erheblich bezeichneten Informationen (zum Ganzen: BGE 147 II 116 E. 5.2; Urteil des BGer 2C_287/2019 und 2C_288/2019 vom 13. Juli 2020 E. 2.3.1 und 3.2; zum Ganzen: Urteil des BVGer A-1883/2021 vom 22. Februar 2022 E. 3.5.2).</w:t>
      </w:r>
    </w:p>
    <w:p>
      <w:r>
        <w:rPr>
          <w:b/>
        </w:rPr>
        <w:t>E. 2.7</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(SR 311.0; nachfolgend: StGB) erfüllt sein müssen und die Delikte unter die schweizerische Straf- bzw. Gerichtshoheit gemäss Art. 3 bis 8 StGB fallen (BGE 143 II 202 E. 8.5.6). 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Urteile des BVGer A-6532/2020 vom 21. Dezember 2021 E. 3.4, A-3186/2019 vom 20. August 2020 E. 2.8.3, A-1534/2018 vom 3. August 2020 E. 6.2; zum Ganzen: Urteil des BVGer A-1883/2021 vom 22. Februar 2022 E. 3.6).</w:t>
      </w:r>
    </w:p>
    <w:p>
      <w:r>
        <w:rPr>
          <w:b/>
        </w:rPr>
        <w:t>E. 2.8</w:t>
      </w:r>
    </w:p>
    <w:p>
      <w:r>
        <w:t>Die Vereinbarung einer Amtshilfeklausel im Rahmen eines DBA ist ein politischer Entscheid, den die Gerichte grundsätzlich zu akzeptieren haben (Urteil des BGer 2C_619/2018 vom 21. Dezember 2018 E. 4.2; Urteil des BVGer A-1883/2021 vom 22. Februar 2022 E. 3.7.1 m.w.H.).</w:t>
      </w:r>
    </w:p>
    <w:p>
      <w:r>
        <w:rPr>
          <w:b/>
        </w:rPr>
        <w:t>E. 3</w:t>
      </w:r>
    </w:p>
    <w:p>
      <w:r>
        <w:t>Das hier streitgegenständliche Amtshilfeersuchen der Niederlande vom 21. Februar 2017 bildete bereits Gegenstand des Referenzurteils des Bundesverwaltungsgerichts A-1883/2021 vom 22. Februar 2022 (nachfolgend: Referenzurteil). Darin hielt das Bundesverwaltungsgericht fest, dass das Listenersuchen alle Anforderungen erfülle und daher zulässig sei. Im gleichen Sinn fällte das Bundesverwaltungsgericht betreffend Amtshilfeersuchen der Niederlande das Nachfolgeurteil A-6507/2020 vom 11. Oktober 2022. Auf die dagegen erhobene Beschwerde ist das Bundesgericht mit Urteil 2C_872/2022 vom 8. November 2022 nicht eingetreten. Aufgrund dieser höchstrichterlichen Klärung der Frage der Zulässigkeit des Amtshilfeersuchens und deren präjudizieller Bedeutung für das vorliegende Verfahren bleibt für das Bundesverwaltungsgericht grundsätzlich kein Raum, die Amtshilfe in Abweichung zu den höchstrichterlichen Erwägungen zu verweigern. Dies wird von den Beschwerdeführenden im Grundsatz auch nicht bestritten. Vorliegend halten die Beschwerdeführenden die Übermittlung der ersuchten Information an den BD dennoch für rechtswidrig. Streitig und im Folgenden zu prüfen ist, ob die ersuchten Informationen für die Steuerpflicht der Beschwerdeführenden in den Niederlanden voraussichtlich erheblich sind (E. 3.1) und ob das Subsidiaritätsprinzip gewahrt wurde (E. 3.2).</w:t>
      </w:r>
    </w:p>
    <w:p>
      <w:r>
        <w:rPr>
          <w:b/>
        </w:rPr>
        <w:t>E. 3.1.1</w:t>
      </w:r>
    </w:p>
    <w:p>
      <w:r>
        <w:t>Die Beschwerdeführenden bezweifeln die voraussichtliche Erheblichkeit der ersuchten Informationen. Diese Auffassung begründen sie im Wesentlichen damit, dass sie in der Zwischenzeit mit dem BD mehrere Vereinbarungen abgeschlossen hätten: zum einen die Vereinbarung vom 24. September 2020 über die Besteuerung nicht deklarierter Vermögenswerte und Einkünfte betreffend die Steuerperioden 2007 bis 2009, zum anderen die Vereinbarung vom 26. bzw. 28. Mai 2022 über die Besteuerung nicht deklarierter Vermögenswerte und Einkünfte betreffend die Steuerperioden ab 2010. Im Rahmen dieser Vereinbarungen seien die relevanten Informationen betreffend Saldo und Einkünfte hinsichtlich der Bankbeziehung 0206-00875537 offengelegt worden. Daraus folge, dass die ersuchten Informationen dem BD bereits bekannt seien, weshalb die voraussichtliche Erheblichkeit der Informationen nicht gegeben sei.</w:t>
      </w:r>
    </w:p>
    <w:p>
      <w:r>
        <w:rPr>
          <w:b/>
        </w:rPr>
        <w:t>E. 3.1.2</w:t>
      </w:r>
    </w:p>
    <w:p>
      <w:r>
        <w:t>Mit diesen Rügen vermögen die Beschwerdeführenden nicht durchzudringen. Soweit sie die voraussichtliche Erheblichkeit der ersuchten Informationen mit dem Verweis auf die beiden Vereinbarungen mit dem BD in Frage stellen, verkennen sie, dass die Voraussetzung der voraussichtlichen Erheblichkeit einer Information nach ständiger Rechtsprechung erfüllt ist, wenn im Zeitpunkt der Einreichung des Amtshilfeersuchens eine vernünftige Möglichkeit besteht, dass sich die verlangten Informationen als erheblich erweisen werden. Keine Rolle spielt, ob sich diese Informationen nach deren Übermittlung für die ersuchende Behörde als nicht erheblich herausstellen (E. 2.3.4). Da die beiden von den Beschwerdeführenden erwähnten Vereinbarungen erst nach dem Amtshilfeersuchen vom 21. Februar 2017 abgeschlossen wurden, können sie von vornherein keinen Einfluss auf die voraussichtliche Erheblichkeit der ersuchten Informationen im Zeitpunkt des Amtshilfeersuchens nehmen. Ergänzend sei anzumerken, dass die beigelegten Vereinbarungen ohnehin nicht geeignet sind, den Zusammenhang zwischen den ersuchten Informationen und der im ersuchenden Staat durchgeführten Untersuchung als wenig wahrscheinlich erscheinen zu lassen, da die ersuchten Informationen vorliegend auch für Verifikationszwecke durch den BD genutzt werden können (E. 2.3.4).</w:t>
      </w:r>
    </w:p>
    <w:p>
      <w:r>
        <w:rPr>
          <w:b/>
        </w:rPr>
        <w:t>E. 3.1.3</w:t>
      </w:r>
    </w:p>
    <w:p>
      <w:r>
        <w:t>Somit sind auch im vorliegenden Verfahren die zu übermittelnden Informationen voraussichtlich erheblich zur Anwendung oder Durchsetzung des niederländischen Rechts im Hinblick auf die korrekte Besteuerung im ersuchten Zeitraum (E. 2.3.2).</w:t>
      </w:r>
    </w:p>
    <w:p>
      <w:r>
        <w:rPr>
          <w:b/>
        </w:rPr>
        <w:t>E. 3.2.1</w:t>
      </w:r>
    </w:p>
    <w:p>
      <w:r>
        <w:t>Die Beschwerdeführenden rügen ferner, dass der BD das Subsidiaritätsprinzip nicht eingehalten habe. Sie begründen dies damit, dass die ersuchten Informationen durch das im niederländischen Recht verankerte freiwillige Offenlegungsprogramm erhältlich gemacht werden können. Sei ein solches Offenlegungsprogramm durch einen Steuerpflichtigen angestossen worden, liege ein innerstaatliches Verfahren vor, welches im Sinne des Subsidiaritätsprinzips ausgeschöpft werden müsse. Dies müsse unabhängig davon gelten, ob das Amtshilfeersuchen vor der freiwilligen Offenlegung gestellt wurde und ob die betroffene Person im Zeitpunkt der freiwilligen Offenlegung von diesem Amtshilfeverfahren Kenntnis hatte.</w:t>
      </w:r>
    </w:p>
    <w:p>
      <w:r>
        <w:rPr>
          <w:b/>
        </w:rPr>
        <w:t>E. 3.2.2</w:t>
      </w:r>
    </w:p>
    <w:p>
      <w:r>
        <w:t>Diese Argumentation vermag in mehrfacher Hinsicht nicht zu überzeugen. Das Subsidiaritätsprinzip verlangt nach konstanter Rechtsprechung des Bundesverwaltungsgerichts nicht, dass alle verfügbaren, sondern bloss die üblichen innerstaatlichen Mittel ausgeschöpft werden (E. 2.4.2). Da ein Mittel nach bundesverwaltungsgerichtlicher Auslegung bereits als nicht mehr «üblich» bezeichnet werden kann, wenn es dem ersuchenden Staat - im Vergleich zu einem Amtshilfeersuchen - einen unverhältnismässigen Aufwand verursachen würde oder wenn die Erfolgschancen als sehr gering einzuschätzen sind (E. 2.4.2), muss dies erst Recht für Mittel gelten, die ausschliesslich durch den Steuerpflichtigen angestossen werden können. Darüber hinaus haben die Beschwerdeführenden das Offenlegungsprogramm zeitlich erst nach dem Amtshilfeersuchen vom 21. Februar 2017 angestossen. Da das Subsidiaritätsprinzip im Zeitpunkt des Amtshilfeersuchens zu wahren bzw. auf diesen Zeitpunkt hin zu prüfen ist, kann die vorgebrachte (nachträgliche) Offenlegung von Steuerinformationen durch die Beschwerdeführenden von vornherein keine Nichteinhaltung des Subsidiaritätsprinzips bewirken.</w:t>
      </w:r>
    </w:p>
    <w:p>
      <w:r>
        <w:rPr>
          <w:b/>
        </w:rPr>
        <w:t>E. 3.2.3</w:t>
      </w:r>
    </w:p>
    <w:p>
      <w:r>
        <w:t>Demgemäss besteht kein Anlass, vorliegend von einer Verletzung des Subsidiaritätsprinzips auszugehen.</w:t>
      </w:r>
    </w:p>
    <w:p>
      <w:r>
        <w:rPr>
          <w:b/>
        </w:rPr>
        <w:t>E. 4</w:t>
      </w:r>
    </w:p>
    <w:p>
      <w:r>
        <w:t>Nach dem Gesagten sind die Voraussetzungen für die in der angefochtenen Schlussverfügung vom 17. Dezember 2020 vorgesehene Amtshilfeleistung erfüllt. Die Beschwerde erweist sich als unbegründet und ist abzuweisen.</w:t>
      </w:r>
    </w:p>
    <w:p>
      <w:r>
        <w:rPr>
          <w:b/>
        </w:rPr>
        <w:t>E. 5.1</w:t>
      </w:r>
    </w:p>
    <w:p>
      <w:r>
        <w:t>Ausgangsgemäss haben die unterliegenden Beschwerdeführenden die Verfahrenskosten zu tragen (Art. 63 Abs. 1 VwVG). Diese sind auf Fr. 5'000.- festzulegen (vgl. Art. 2 Abs. 1 i.V.m. Art. 4 des Reglements vom 21. Februar 2008 über die Kosten und Entschädigungen vor dem Bundesverwaltungsgericht [VGKE, SR 173.320.2]). Der einbezahlte Kostenvorschuss in der Höhe von Fr. 5'000.- ist zur Bezahlung dieser Kosten zu verwenden.</w:t>
      </w:r>
    </w:p>
    <w:p>
      <w:r>
        <w:rPr>
          <w:b/>
        </w:rPr>
        <w:t>E. 5.2</w:t>
      </w:r>
    </w:p>
    <w:p>
      <w:r>
        <w:t>Eine Parteientschädigung ist nicht zuzusprechen (vgl. Art. 64 Abs. 1 VwVG e contrario und Art. 7 Abs. 1 VGKE e contrario sowie Art. 7 Abs. 3 VGKE).</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