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A-272/2013 vom 21. November 2013</w:t>
      </w:r>
    </w:p>
    <w:p>
      <w:r>
        <w:t>Bundesverwaltungsgericht, 2013-11-21, DE</w:t>
      </w:r>
    </w:p>
    <w:p>
      <w:r>
        <w:rPr>
          <w:b/>
        </w:rPr>
        <w:t xml:space="preserve">Quelle: </w:t>
      </w:r>
      <w:r>
        <w:t>https://mcp.opencaselaw.ch/entscheid/bvger_A-272_2013</w:t>
      </w:r>
    </w:p>
    <w:p>
      <w:r>
        <w:t>FR: TAF A-272/2013 du 21 novembre 2013</w:t>
      </w:r>
    </w:p>
    <w:p>
      <w:r>
        <w:t>IT: TAF A-272/2013 del 21 novembre 2013</w:t>
      </w:r>
    </w:p>
    <w:p>
      <w:pPr>
        <w:pStyle w:val="Heading2"/>
      </w:pPr>
      <w:r>
        <w:t>Regeste</w:t>
      </w:r>
    </w:p>
    <w:p>
      <w:r>
        <w:t>Elektrische Erzeugnisse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METAS wurde am 1. Januar 2013 in eine öffentlich-rechtliche Anstalt des Bundes mit eigener Rechtspersönlichkeit - dem Eidgenössischen Institut für Metrologie (ebenfalls METAS) - überführt. Es gehört somit zu den Behörden nach Art. 33 Bst. e VGG und ist daher eine Vorinstanz des Bundesverwaltungsgerichts. Eine Ausnahme, was das Sachgebiet angeht, ist nicht gegeben (Art. 32 VGG). Das Bundesverwaltungsgericht ist somit zur Beurteilung der vorliegenden Beschwerde zuständig.</w:t>
      </w:r>
    </w:p>
    <w:p>
      <w:r>
        <w:rPr>
          <w:b/>
        </w:rPr>
        <w:t>E. 1.2</w:t>
      </w:r>
    </w:p>
    <w:p>
      <w:r>
        <w:t>Das Verfahren richtet sich nach dem VwVG, soweit das VGG nichts anderes bestimmt (Art. 37 VGG).</w:t>
      </w:r>
    </w:p>
    <w:p>
      <w:r>
        <w:rPr>
          <w:b/>
        </w:rPr>
        <w:t>E. 1.3</w:t>
      </w:r>
    </w:p>
    <w:p>
      <w:r>
        <w:t>Anfechtungsobjekt im Verfahren vor dem Bundesverwaltungsgericht bildet einzig der Einspracheentscheid. Auf die Beschwerde kann daher insoweit nicht eingetreten werden, als mit ihr die Aufhebung der Verfügung vom 9. November 2012 verlangt wird. Immerhin gilt die erstinstanzliche Verfügung als inhaltlich mit angefochten.</w:t>
      </w:r>
    </w:p>
    <w:p>
      <w:r>
        <w:rPr>
          <w:b/>
        </w:rPr>
        <w:t>E. 1.4</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und kann sich höchstens verengen und um nicht mehr streitige Punkte reduzieren, nicht aber ausweiten. Einzig eine Präzisierung ist noch möglich. Fragen, über welche die erstinstanzlich verfügende Behörde nicht entschieden hat, darf die zweite Instanz nicht beurteilen, da andernfalls in die funktionelle Zuständigkeit der ersten Instanz eingegriffen würde. Die Verfügung bzw. vorliegend der Einspracheentscheid bestimmt den beschwerdeweise weiterziehbaren Anfechtungsgegenstand (vgl. zum Ganzen BGE 136 II 457 E. 4.2, BGE 133 II 35 E. 2 und BGE 131 V 164 E. 2.1; Urteile des Bundesverwaltungsgerichts A 3274/2012 vom 25. März 2013 E. 1.3.1 und A 1070/2012 vom 17. Oktober 2012 E. 1.3; André Moser/Michael Beusch/Lorenz Kneubühler, Prozessieren vor dem Bundesverwaltungsgericht, Basel 2008, Rz. 2.208, 2.213 und 2.218; Frank Seethaler/Fabia Bochsler, in: Praxiskommentar VwVG, Waldmann/Weissenberger [Hrsg.], Zürich 2009, Art. 52 N 41). Ausnahmsweise werden Antragsänderungen und erweiterungen, die im Zusammenhang mit dem Streitgegenstand stehen, aus prozessökonomischen Gründen zugelassen. Hierbei ist jedoch Voraussetzung, dass ein (sehr) enger Bezug zum bisherigen Streitgegenstand besteht und die Verwaltung im Laufe des Verfahrens Gelegenheit hatte, sich zu dieser neuen Streitfrage zu äussern (Urteil des Bundesverwaltungsgericht A 5781/2007 vom 18. Juni 2008 E. 1.3.1; Moser/Beusch/Kneubühler, a.a.o., Rz. 2.210).</w:t>
      </w:r>
    </w:p>
    <w:p>
      <w:r>
        <w:rPr>
          <w:b/>
        </w:rPr>
        <w:t>E. 1.4.1</w:t>
      </w:r>
    </w:p>
    <w:p>
      <w:r>
        <w:t>Die Beschwerdeführerin verlangt in ihrem Rechtsbegehren nicht nur das Auswechseln der B._______-Zähler Typ (...) und (...), Letzere mit verlängerter Frist bis zum 31. Dezember 2014, sondern auch all jene der C._______ Typ (...). In der Replik führt sie aus, zwischen diesen bestünde ein enger Bezug und deshalb müsse ausnahmsweise eine Antragsänderung bzw. -erweiterung aus prozessökonomischen Gründen zugelassen werden. Die Vorinstanz erwidert, Gegenstand der Verfügung vom 9. November 2012 seien lediglich die B._______-Zähler Typ (...) gewesen. In der Duplik kommt sie zum Schluss, es sei ohne Bedeutung, dass die Beschwerdeführerin bereits begonnen habe, neben der von der Verfügung betroffenen B._______-Zählern auch alle anderen Zähler zu ersetzen. Weiter sei es unverständlich, weshalb die Beschwerdeführerin die Anordnung einer Massnahme verlange, die dem Vorgehen entspräche, das sie ohnehin geplant habe und gegenwärtig umsetze.</w:t>
      </w:r>
    </w:p>
    <w:p>
      <w:r>
        <w:rPr>
          <w:b/>
        </w:rPr>
        <w:t>E. 1.4.2</w:t>
      </w:r>
    </w:p>
    <w:p>
      <w:r>
        <w:t>Gegenstand des Einspracheentscheids vom 20. Dezember 2012 und der zuvor ergangenen Verfügung vom 9. November 2012 ist effektiv lediglich die Auswechslung aller B._______-Zähler Typ (...) bis zum 31. Dezember 2013. Für die B._______-Zähler Typ (...) wurde gemäss Einsprachebegehren der Beschwerdeführerin die Frist zu deren Auswechslung bis zum 31. Dezember 2014 angepasst. Da ein allfälliger Austausch der C._______ Zähler Typ (...) nicht Gegenstand des angefochtenen Einspracheentscheids ist, darf das Bundesverwaltungsgericht darüber nicht urteilen. Es besteht kein enger Bezug zum Streitgegenstand, da der Austausch der B._______-Zähler einen Austausch der C._______ Zähler nicht präjudiziert, zumal sich bei Letzteren die Sachlage anders präsentiert. Die Voraussetzungen, welche ausnahmsweise eine Antragserweiterung zulassen würden, sind vorliegend somit nicht erfüllt. Auf die entsprechenden Anträge der Beschwerdeführerin, die sich auf die C._______ Zähler Typ (...) beziehen, ist daher nicht einzutreten.</w:t>
      </w:r>
    </w:p>
    <w:p>
      <w:r>
        <w:rPr>
          <w:b/>
        </w:rPr>
        <w:t>E. 1.5</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ist als Adressatin des angefochtenen Einspracheentscheids zur Beschwerde legitimiert.</w:t>
      </w:r>
    </w:p>
    <w:p>
      <w:r>
        <w:rPr>
          <w:b/>
        </w:rPr>
        <w:t>E. 1.6</w:t>
      </w:r>
    </w:p>
    <w:p>
      <w:r>
        <w:t>Auf die im Übrigen frist- und formgerecht eingereichte Beschwerde (Art. 50 Abs. 1 und Art. 52 Abs. 1 VwVG) ist daher mit den vorstehend erwähnten Einschränkungen einzutreten.</w:t>
      </w:r>
    </w:p>
    <w:p>
      <w:r>
        <w:rPr>
          <w:b/>
        </w:rPr>
        <w:t>E. 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Unangemessenheit rügen (Art. 49 Bst. c VwVG). Es wendet das Recht von Amtes wegen an und ist an die Begründung der Begehren der Parteien nicht gebunden (Art. 62 Abs. 4 VwVG).</w:t>
      </w:r>
    </w:p>
    <w:p>
      <w:r>
        <w:rPr>
          <w:b/>
        </w:rPr>
        <w:t>E. 3.1</w:t>
      </w:r>
    </w:p>
    <w:p>
      <w:r>
        <w:t>Das Messwesen gehört zu jenen Gebieten, in denen nach dem Vertrag zwischen der Schweiz und Liechtenstein über den Anschluss des Fürstentums Liechtenstein an das schweizerische Zollgebiet vom 29. März 1923 (SR 0.631.112.514) im Fürstentum Liechtenstein die schweizerischen Rechtsvorschriften anwendbar sind. Die Kundmachung vom 23. Oktober 2012 (Liechtensteinisches Landesgesetzblatt 2012, Nr. 331, 31. Oktober 2012) nennt u.a das Bundesgesetz über das Messwesen vom 9. Juni 1977, die Messmittelverordnung vom 15. Februar 2006 und die Verordnung des EJPD über Messmittel für elektrische Energie und Leistung.</w:t>
      </w:r>
    </w:p>
    <w:p>
      <w:r>
        <w:rPr>
          <w:b/>
        </w:rPr>
        <w:t>E. 3.2</w:t>
      </w:r>
    </w:p>
    <w:p>
      <w:r>
        <w:t>Das Messgesetz wurde auf 1. Januar 2013 einer umfassenden Revision unterzogen (MessG vom 17. Juni 2011, SR 941.20, AS 2012 6235). Bis zum 31. Dezember 2012 stand das Messgesetz vom 9. Juni 1977 (aMessG, RO 1977 2349) in Kraft, welches in Art. 16 den Vollzug des Gesetzes dem Bundesamt für Metrologie (METAS) übertrug, welches mittlerweile in eine selbständige Anstalt, dem Eidgenössischen Institut für Metrologie (METAS) überführt wurde. Das aMessG sah in Art. 25 Abs. 1 ein Einspracheverfahren gegen Verfügungen des METAS vor. Der Einspracheentscheid des METAS vom 20. Dezember 2012 wurde während der Geltung dieser Bestimmung erlassen. Demnach war die funktionale Zuständigkeit der METAS gegeben.</w:t>
      </w:r>
    </w:p>
    <w:p>
      <w:r>
        <w:rPr>
          <w:b/>
        </w:rPr>
        <w:t>E. 3.3</w:t>
      </w:r>
    </w:p>
    <w:p>
      <w:r>
        <w:t>Die Grundsätze zur Prüfung der Messbeständigkeit eines Messmittels sind in Art. 9 MessG geregelt. Gemäss Art. 9 Abs. 3 MessG erlässt der Bundesrat die Vorschriften über die Prüfung der Messbeständigkeit, die Prüfintervalle und die Kennzeichnung des geprüften Messmittels. Bereits das aMessG sah diese Kompetenz des Bundesrates für den Erlass von Vorschriften über das Mess- und Prüfverfahren in Art. 9 Abs. 1 vor. Auf dieser Grundlage hat der Bundesrat die Messmittelverordnung vom 15. Februar 2006 (MessMV, SR 941.210) erlassen. Laut Art. 21 Abs. 1 MessMV ist die Verwenderin u.a. dafür verantwortlich, dass die Verfahren zur Erhaltung der Messbeständigkeit nach Art. 24 MessMV durchgeführt werden, wobei messmittelspezifische Verordnungen festlegen, welche Verfahren für welche Messmittel anwendbar sind (Art. 24 Abs. 3 MessMV). Das Eidgenössische Justiz- und Polizeidepartement hat gestützt darauf die Verordnung des EJPD über Messmittel für elektrische Energie und Leistung vom 19. März 2006 (Verordnung EJPD, SR 941.251) erlassen, die auch mit Inkrafttreten der neuen gesetzlichen Grundlagen im Messgesetz vom 17. Juni 2011 keine inhaltliche Änderungen erfahren hat. Gemäss Art. 6 Abs. 2 dieser Verordnung können direktmessende Wirkenergiezähler dem Verfahren nach Anhang 4 der Verordnung unterzogen werden, wobei die dem statistischen Prüfverfahren unterstellten Zähler ihre Eichgültigkeit behalten, solange die Zähler der Stichprobe die Anforderungen nach Anhang 4 Ziffer 8 einhalten. Erfüllen die Stichproben die Anforderungen nach den Ziffern 6.1 bis 6.4 des Anhangs 4 nicht, müssen alle Zähler des betreffenden Loses bis zum Ende des der Prüfung folgenden Jahres ausser Betrieb genommen werden (Anhang 4 Ziffer 9.2 der Verordnung EJPD).</w:t>
      </w:r>
    </w:p>
    <w:p>
      <w:r>
        <w:rPr>
          <w:b/>
        </w:rPr>
        <w:t>E. 4</w:t>
      </w:r>
    </w:p>
    <w:p>
      <w:r>
        <w:t>Gemäss Art. 5 Abs. 2 der Bundesverfassung der Schweizerischen Eidgenossenschaft vom 18. April 1999 (BV, SR 101) muss staatliches Handeln (auch ausserhalb von Eingriffen in Grundrechte) im öffentlichen Interesse liegen und verhältnismässig sein. Der Grundsatz der Verhältnismässigkeit hat sowohl für die Rechtsetzung als auch für die Rechtsanwendung Bedeutung (vgl. BGE 135 V 172 E. 7.3.3 mit Hinweis). Gemäss Lehre und Rechtsprechung umfasst die Verhältnismässigkeit drei Elemente, die kumulativ beachtet werden müssen: Erstens muss die Massnahme geeignet sein, das im öffentlichen Interesse angestrebte Ziel zu erreichen. Zweitens muss sie erforderlich sein, um dieses Ziel zu verwirklichen und drittens muss die Massnahme dem Privaten zumutbar sein (Urteile des Bundesverwaltungsgerichts A 6736/2011 vom 7. August 2012 E. 3.2 und A 5814/2009 vom 24. August 2010 E. 6.6 und E. 6.8; Ulrich Häfelin/Georg Müller/Felix Uhlmann, Allgemeines Verwaltungsrecht, 6. Auflage, Zürich/St. Gallen 2010, Rz. 586 ff. mit Hinweisen).</w:t>
      </w:r>
    </w:p>
    <w:p>
      <w:r>
        <w:rPr>
          <w:b/>
        </w:rPr>
        <w:t>E. 4.1</w:t>
      </w:r>
    </w:p>
    <w:p>
      <w:r>
        <w:t>Die von der Vorinstanz angeordnete Auswechslung der ausschliesslich noch im Streit liegenden B._______-Zähler Typ (...) stellt ohne Zweifel ein geeignetes Mittel dar, um das öffentliche Interesse an der Messsicherheit bei der Ermittlung von Messgrössen und an der Redlichkeit in Handel und Geschäftsverkehr, welche den Bestimmungen der MessMV zugrunde liegen, zu verwirklichen und so den Endverbraucher vor zu hohen Stromrechnungen zu schützen, die nicht dem tatsächlichen Verbrauch entsprechen. Ob sich diese Massnahme auch als erforderlich erweist, kann offen gelassen werden (vgl. E. 4.3).</w:t>
      </w:r>
    </w:p>
    <w:p>
      <w:r>
        <w:rPr>
          <w:b/>
        </w:rPr>
        <w:t>E. 4.2</w:t>
      </w:r>
    </w:p>
    <w:p>
      <w:r>
        <w:t>Eine Verwaltungsmassnahme ist im Weiteren nur gerechtfertigt, wenn sie ein vernünftiges Verhältnis zwischen dem angestrebten Ziel und dem Eingriff, den sie für den betroffenen Privaten bewirkt, wahrt. Es ist deshalb eine wertende Abwägung vorzunehmen, welche im konkreten Fall das öffentliche Interesse an der Massnahme und die durch ihre Wirkungen beeinträchtigten privaten Interessen der Betroffenen miteinander vergleicht. Die Massnahme muss durch ein das private Interesse überwiegendes öffentliches Interesse gerechtfertigt sein. Nur in diesem Fall ist sie den Privaten zumutbar. Für die Interessenabwägung massgeblich sind also einerseits die Bedeutung der verfolgten öffentlichen Interessen und anderseits das Gewicht der betroffenen privaten Interessen. Eine Massnahme, an der nur ein geringes öffentliches Interesse besteht, die aber tief greifende Auswirkungen auf die Rechtsstellung der betroffenen Privaten hat, soll unterbleiben (Häfelin/Müller/Uhlmann, a.a.O., Rz. 613 f.). Nachfolgend sind demnach die verschiedenen Interessen gegeneinander abzuwägen und zu untersuchen, ob die von der Vorinstanz angesetzte Frist zur Auswechslung der B._______-Zähler Typ (...) bis 31. Dezember 2013 verhältnismässig ist.</w:t>
      </w:r>
    </w:p>
    <w:p>
      <w:r>
        <w:rPr>
          <w:b/>
        </w:rPr>
        <w:t>E. 4.2.1</w:t>
      </w:r>
    </w:p>
    <w:p>
      <w:r>
        <w:t>Es besteht ein erhebliches öffentliches Interesse an der Sicherung der Messsicherheit und der Redlichkeit in Handel und Geschäftsverkehr (Art. 1 Bst. a MessMV), da der Endverbraucher vor überhöhten Stromrechnungen geschützt werden soll. Nicht zuletzt soll auch das Vertrauen in die verwendeten Messinstrumente und die damit durchgeführten Messungen geschützt werden; dieses sichert wiederum seinerseits die Volkswirtschaft an sich (Begrüssung des Direktors von METAS, publiziert auf der Webseite des Eidgenössischen Instituts für Metrologie &lt;http://www.metas.ch&gt; METAS, besucht am 2. Oktober 2013).</w:t>
      </w:r>
    </w:p>
    <w:p>
      <w:r>
        <w:rPr>
          <w:b/>
        </w:rPr>
        <w:t>E. 4.2.2</w:t>
      </w:r>
    </w:p>
    <w:p>
      <w:r>
        <w:t>Diesem öffentlichen Interesse stehen die privaten Interessen der Beschwerdeführerin gegenüber. Die Beschwerdeführerin führt hierzu aus, dass die B._______-Zähler Typ (...) erst bis zum 31. Dezember 2014 im Rahmen eines bereits geplanten "Smart Meter"-Rollouts ausgetauscht werden sollten und es unverhältnismässig sei, den Austausch aufgrund einer analogen Anwendung von Anhang 4 Ziffer 9.2 der Verordnung EJPD bis am 31. Dezember 2013 zu verlangen. Die Beschwerdeführerin macht plausibel geltend, durch den Ersatz der B._______-Zähler Typ (...) bis am 31. Dezember 2013 und der damit einhergehenden Unterbrechung des geplanten "Smart Meter" Rollouts entstehe ihr ein wirtschaftlicher Endschaden in Höhe von Fr. 140'000.-- bzw. entstünden ihr temporäre Mehrkosten in Höhe von Fr. 700'000.--. Sie wolle die bestehenden Messgeräte im Rahmen eines "Smart Meter"-Rollouts durch C._______ Typ (...) ersetzen. Gemäss unbestritten gebliebenen Ausführungen der Beschwerdeführerin handelt es sich bei diesem Messgerät um einen Stromzähler, der via X._______ systembedingt schrittweise in einem intelligenten Netzwerk lokal zusammengeführt werden müsse. Allgemein würden "Smart Meter" (intelligente Stromzähler) üblicherweise bei allen Haushalten in einem Trafo Kreis - einem eng begrenzten Stromversorgungsgebiet im Umfeld einer Transformatorenstation - vollständig ausgebaut, um deren Erreichbarkeit sicherzustellen. "Smart Meter" würden eine sogenannte Repeaterfunktion erfüllen - das bedeutet eine gegenseitige Unterstützung bei der Signalübertragung -, weshalb ihr Einsatz nur im Nahverbund sinnvoll sei. Da die zukünftig zum Einsatz gelangenden Elektrizitätszähler C._______-Zähler Typ (...) für den Einzelbetrieb nur bedingt geeignet seien, müssten gemäss den Ausführungen der Beschwerdeführerin bei einer Auswechslung bis 31. Dezember 2013 zunächst typenfremde Elektrizitätszähler eingesetzt werden. Die typenfremden Geräte müssten sodann in kurzer Zeit ausgewechselt werden, was seinerseits wiederum die Kosten erhöhe. Eine Priorisierung der Auswechslung einzelner Zählertypen führe daher zu einer Ineffizienz der Montagetätigkeit sowie zu logistischen Mehraufwendungen aufgrund der kurzfristig hohen Stückzahlen. Es müssten zu den bereits um drei Mitarbeiter aufgestockten Personalkapazitäten weitere vier Zählermonteure rekrutiert werden. Das erneute Auswechseln der typenfremden Elektrizitätszähler sowie der (vorliegend nicht im Streit liegenden) C._______ Zähler Typ (...) nach kurzer Zeit würde letztlich auch zu einem Imageverlust der Beschwerdeführerin bei ihren Kunden führen. Die Beschwerdeführerin führt zum unbestritten gebliebenen Sachverhalt weiter aus, nach dem Roll-out würden am 31. Dezember 2013 noch ca. 1'800 Zähler im Netz verbleiben, was bei einer Jahresbetrachtung bzw. sukzessiven Auswechslung durchschnittlich 900 Stück ergebe (Auswechslung Zum um Zug). Nach Angaben des Herstellers könnten bis zu 3 % der B._______-Zähler Typ (...) messtechnische Probleme aufweisen. Diesfalls resultierten 27 Kunden, die von fehlerhaften Messgeräten betroffen sein könnten. Da der maximale Kundenschaden pro Fall Fr. 583.45 betrage (durchschnittlicher Verbrauch 4'420 kWh/Jahr; durchschnittlicher Strompreis 20 Rp./kWh = Fr. 884.--; Messüberhöhung von 66 %), entstünde ein maximal möglicher Kundenschaden von insgesamt Fr. 15'750.--. Dieses Kundeninteresse in der Höhe von Fr. 15'750.-- stehe in keinem Verhältnis zu ihren eigenen Mehraufwendungen, resultierend aus temporären Mehrkosten in Höhe von Fr. 700'000.-- und einem wirtschaftlichen Endschaden in Höhe von Fr. 140'000.--. Weiter würde über zu hohe Messpreise wegen einer voreiligen Geräteablösung der Endkunde ebenso geschädigt.</w:t>
      </w:r>
    </w:p>
    <w:p>
      <w:r>
        <w:rPr>
          <w:b/>
        </w:rPr>
        <w:t>E. 4.3</w:t>
      </w:r>
    </w:p>
    <w:p>
      <w:r>
        <w:t>Zunächst ist festzuhalten, dass das Sicherstellen der Messsicherheit und der Redlichkeit in Handel und Geschäftsverkehr zweifellos von hohem gewichtigem öffentlichem Interesse ist, weil das Kundenvertrauen massgeblich von der Richtigkeit der erhobenen Messdaten abhängt. Die Beschwerdeführerin begründet jedoch glaubhaft die Entstehung eines wirtschaftlichen Schadens in Höhe von Fr. 140'000.-- bei einer unplanmässigen Auswechslung aller Elektrizitätszähler B._______ (...) bis zum 31. Dezember 2013. Die Beschwerdeführerin zeigt mit dem bei der Zählerablesung praktizierten Abklopfen der Messgeräte eine kurzfristige Massnahme auf, die auch nach Auffassung der Vorinstanz Fehlmessungen verhindern kann, hat doch diese genau aus diesem Grund die Frist zur Auswechseln der auf Baustellen mobil eingesetzten B._______-Zähler (...) bis zum 31. Dezember 2014 verlängert. Ferner ist die Beschwerdeführerin zugestandenermassen in der Lage, aufgrund von Plausibilitätsprüfungen Fehlmessungen zu erkennen und es ist weiter zu berücksichtigen, dass die Beschwerdeführerin verpflichtet ist, die betroffenen Kunden über die fehlerhaften Messgeräte zu informieren. Durch diese Information kann dem Vertrauensverlust entgegengewirkt werden. Dem drohenden wirtschaftlichen Schaden der Beschwerdeführerin von Fr. 140'000.-- steht ein Schadenspotential von Fr. 583.45 pro betroffener Kunde bzw. ein hochgerechneter plausibler maximaler Kundenschaden von Fr. 15'750.-- gegenüber, der mittels der bereits ergriffenen oder künftig zu treffenden Sofortmassnahmen kaum oder nur in geringfügiger Höhe eintreten dürfte. Die Sofortmassnahmen wurden von der Vorinstanz im Rahmen der Interessenabwägung bei der Festsetzung der Frist zum Austausch der Stromzähler zu wenig gewürdigt und lassen eine strenge Fristansetzung weniger vordringlich erscheinen. Dabei ist auch die dem öffentlichen Interesse gegenläufige Tatsache zu berücksichtigen, dass der wirtschaftliche Schaden der Beschwerdeführerin letztlich dem Endkunden via Stromrechnung überwälzt würde. Unter diesen Umständen sind die privaten Interessen der Beschwerdeführerin, der unverschuldet ein wirtschaftlicher Schaden in namhafter Höhe droht, und auch das Interesse der Endkunden an der Vermeidung unnötiger Kosten, höher zu gewichten als das öffentliche Interesse an der umgehenden Sicherstellung der Messsicherheit. Das öffentliche Interesse an der Redlichkeit in Handel und Geschäftsverkehr (Art. 1 Bst. a MessMV) ist aufgrund der Verpflichtung zur Information der Endkunden ohnehin wenig betroffen. Der angeordnete Austausch der fehlerhaften B._______-Zähler Typ (...) bis 31. Dezember 2013 erweist sich daher als unverhältnismässig.</w:t>
      </w:r>
    </w:p>
    <w:p>
      <w:r>
        <w:rPr>
          <w:b/>
        </w:rPr>
        <w:t>E. 4.4</w:t>
      </w:r>
    </w:p>
    <w:p>
      <w:r>
        <w:t>Aufgrund dieses Ergebnisses kann dahingestellt bleiben, ob die Vorinstanz ohne Durchführung des statistischen Prüfverfahrens (s. E. 3.2) bzw. ohne weitere Erhebungen alleine gestützt auf die Fehlermeldung des Herstellers die Auswechslung der B._______-Zähler Typ (...) bestimmter Jahrgänge anordnen durfte. Die von der Beschwerdeführerin angeführten Zweifel an der vom Hersteller angegebenen Fehlerquote von 3% an den Messgeräten erweist sich unter diesen Umständen eben so wenig als entscheidrelevant. Die Beschwerdeführerin geht selber davon aus, dass die B._______-Zähler in naher Zukunft auszuwechseln sind, da diese mit zunehmendem Alter den Messgenauigkeitsanforderungen und letztlich den gesetzlichen Anforderungen nicht mehr genügten. Sie hat dementsprechend und aufgrund des bereits laufenden "Smart Meter"-Rollouts mit ihrem gestellten Rechtsbegehren den Streitgegenstand auf die Frist zur Auswechslung der fehleranfälligen Messgeräte eingeengt. Deshalb kann offengelassen werden, ob sich die von der Vorinstanz verfügte Massnahme als erforderlich erweist (s. E. 4).</w:t>
      </w:r>
    </w:p>
    <w:p>
      <w:r>
        <w:rPr>
          <w:b/>
        </w:rPr>
        <w:t>E. 5</w:t>
      </w:r>
    </w:p>
    <w:p>
      <w:r>
        <w:t>Die Beschwerde ist demnach gutzuheissen, soweit darauf einzutreten ist, und Ziffer 2 des angefochtenen Einspracheentscheids vom 20. Dezember 2012 ist dahingehend abzuändern, dass auch die Frist zur Ersetzung der B._______-Zähler des Typs (...) bis zum 31. Dezember 2014 verlängert wird und die Beschwerdeführerin bis dahin die geeigneten Mittel zur Vermeidung von Messfehlern zu treffen hat. Im Übrigen ist aufgrund der verlängerten Frist Ziffer 3 des angefochtenen Einspracheentscheids insoweit aufzuheben, als sie die Information der Endkunden und die Berichterstattung betrifft (Ziff. 2 und 3 der Verfügung vom 9. November 2012) und die Angelegenheit in diesem Umfang an die Vorinstanz zur Ansetzung neuer Fristen zurückzuweisen.</w:t>
      </w:r>
    </w:p>
    <w:p>
      <w:r>
        <w:rPr>
          <w:b/>
        </w:rPr>
        <w:t>E. 6.1</w:t>
      </w:r>
    </w:p>
    <w:p>
      <w:r>
        <w:t>Bei diesem Ausgang des Verfahrens sind weder der im Wesentlichen obsiegenden Beschwerdeführerin noch der Vorinstanz Verfahrenskosten aufzuerlegen (Art. 63 Abs. 1, Abs. 2 und Abs. 3 VwVG). Der Kostenvorschuss in der Höhe von Fr. 3'000.-- ist der Beschwerdeführerin nach Eintritt der Rechtskraft des vorliegenden Entscheids zurückzuerstatten.</w:t>
      </w:r>
    </w:p>
    <w:p>
      <w:r>
        <w:rPr>
          <w:b/>
        </w:rPr>
        <w:t>E. 6.2</w:t>
      </w:r>
    </w:p>
    <w:p>
      <w:r>
        <w:t>Die nicht anwaltlich vertretene Beschwerdeführerin hat keinen Anspruch auf Ausrichtung einer Parteientschädigung (Art. 64 Abs. 1 VwVG i.V.m. Art. 7 Abs. 1 des Reglements über die Kosten und Entschädigungen vor dem Bundesverwaltungsgericht vom 21. Februar 2008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