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A-272/2010 vom 4. März 2010</w:t>
      </w:r>
    </w:p>
    <w:p>
      <w:r>
        <w:t>Bundesverwaltungsgericht, 2010-03-04, DE</w:t>
      </w:r>
    </w:p>
    <w:p>
      <w:r>
        <w:rPr>
          <w:b/>
        </w:rPr>
        <w:t xml:space="preserve">Quelle: </w:t>
      </w:r>
      <w:r>
        <w:t>https://mcp.opencaselaw.ch/entscheid/bvger_A-272_2010</w:t>
      </w:r>
    </w:p>
    <w:p>
      <w:r>
        <w:t>FR: TAF A-272/2010 du 4 mars 2010</w:t>
      </w:r>
    </w:p>
    <w:p>
      <w:r>
        <w:t>IT: TAF A-272/2010 del 4 marzo 2010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wird zufolge Gegenstandslosigkeit abgeschrieben.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 Vorinstanz wird verpflichtet, der Beschwerdeführerin eine Parteientschädigung von Fr. 10'000.-- zu bezahlen.</w:t>
      </w:r>
    </w:p>
    <w:p>
      <w:r>
        <w:rPr>
          <w:b/>
        </w:rPr>
        <w:t>E. 4</w:t>
      </w:r>
    </w:p>
    <w:p>
      <w:r>
        <w:t>Dieser Entscheid geht an: die Beschwerdeführerin (Einschreiben) die Vorinstanz (Ref-Nr. ...; Einschreiben) Der Einzelrichter: Der Gerichtsschreiber: Daniel de Vries Reilingh Keita Mutombo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