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A-2705/2020 vom 10. November 2022</w:t>
      </w:r>
    </w:p>
    <w:p>
      <w:r>
        <w:t>Bundesverwaltungsgericht, 2022-11-10, IT</w:t>
      </w:r>
    </w:p>
    <w:p>
      <w:r>
        <w:rPr>
          <w:b/>
        </w:rPr>
        <w:t xml:space="preserve">Quelle: </w:t>
      </w:r>
      <w:r>
        <w:t>https://mcp.opencaselaw.ch/entscheid/bvger_A-2705_2020</w:t>
      </w:r>
    </w:p>
    <w:p>
      <w:r>
        <w:t>FR: TAF A-2705/2020 du 10 novembre 2022</w:t>
      </w:r>
    </w:p>
    <w:p>
      <w:r>
        <w:t>IT: TAF A-2705/2020 del 10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 27 aprile 2020 dell'autorità inferiore, con cui quest'ultima ha accolto la domanda raggruppata italiana di assistenza amministrativa del 23 novembre 2018, per quanto concerne il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C._______/D._______);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C._______/D._______,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C._______/D._______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C._______, ora D._______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C._______/D._______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C._______/D._______,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C._______/D._______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C._______/D._______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il ricorrente censura la violazione del principio della sussidiarietà, nella misura in cui l'autorità richiedente italiana si sarebbe mai rivolta dapprima a lui per chiedergli le informazioni, prima di inoltrare la domanda raggruppata italiana di assistenza amministrativa del 23 novembre 2018. A suo avviso, la mera dichiarazione contenuta in detta domanda, secondo cui sarebbero stati esauriti i mezzi interni di indagine, non sarebbe sufficiente. L'autorità inferiore avrebbe dovuto indagare al riguardo (cfr. ricorso 25 maggio 2020, pag. 2). A suo avviso, la predetta domanda raggruppata italiana andrebbe poi considerata come una « fishing expedition », giacché la stessa sarebbe andata a colpire situazioni in cui la conformità fiscale dei contribuenti con il fisco italiano sarebbe già stata manifesta, segnatamente i contribuenti « compliant » con la normativa fiscale italiana, ovvero i titolari di relazioni bancarie non tenute ad obblighi di monitoraggio e pertanto alla compilazione del Quadro RW del Modello Unico. Non differenziando tra contribuenti ottemperanti e non gli obblighi fiscali italiani, detta domanda costituirebbe dunque una « fishing expedition » (cfr. ricorso 25 maggio 2020, pagg. 2-3). Per finire, egli contesta l'applicabilità all'assistenza amministrativa internazionale - e dunque anche al suo caso - della giurisprudenza del Tribunale federale relativa alla finzione della notifica delle lettere della banca in « fermo banca », a prescindere dalla presa di conoscenza effettiva, da lui considerata sproporzionata e come conducente a delle situazioni manifestamente contrarie al sentimento di giustizia e ed equità, giacché s'egli fosse stato adeguatamente informato presso il proprio domicilio, lo stesso avrebbe adottato diverse strategie e condotte evitando in questo modo di venir colpito dalla domanda raggruppata in oggetto . Nel suo caso, egli non avrebbe mai ricevuto presso il suo domicilio una lettera da parte della banca che lo informava circa le restrizioni ai servizi bancari nel caso in cui non fosse stata fornita alcuna prova di conformità fiscale, bensì unicamente la lettera datata 2 dicembre 2019 della banca, con cui quest'ultima lo avrebbe informato dell'avvio della procedura (cfr. ricorso 25 maggio 2020, pag. 3). Sennonché tali censure non possono che essere qui respinte. Gli argomenti sollevati dal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il ricorrente allorquando esso ritiene - contrariamente a quanto stabilito dal Tribunale federale - che la domanda non sia conforme alla CDI CH-IT. Per quanto attiene in particolare alla censura della finzione della notifica in « fermo banca », qui ininfluente, il Tribunale rileva poi come il ricorrente - contrariamente a quanto da egli indicato - non abbia in ogni caso subito alcun pregiudizio di alcun genere, lo stesso avendo invero non solo preso conoscenza della lettera 20 febbraio 2015 della banca, ma anche deciso successivamente di chiudere il proprio conto (cfr. atto n. 18.2 dell'incarto prodotto dall'autorità inferiore su chiave USB [di seguito: inc. AFC], pagg. 9 e 10).</w:t>
      </w:r>
    </w:p>
    <w:p>
      <w:r>
        <w:rPr>
          <w:b/>
        </w:rPr>
        <w:t>E. 5</w:t>
      </w:r>
    </w:p>
    <w:p>
      <w:r>
        <w:t>Constatata l'ammissibilità della domanda raggruppata italiana di assistenza amministrativa del 23 novembre 2018, occorre ancora stabilire se il ricorrente rientra o meno nel modello di comportamento (lecitamente) ivi descritto dall'autorità richiedente italiana. A tal proposito, lo scrivente Tribunale rileva come, da un esame degli atti dell'incarto - e meglio dalla documentazione fornita dalla banca C._______/D._______ (cfr. atto n. 18.2 dell'inc. AFC) -, risulti chiaramente che durante il periodo interessato dalla predetta domanda raggruppata, il ricorrente era titolare ed avente diritto economico di un conto bancario presso la banca C._______/D._______, congiuntamente ad altre due persone, così come peraltro da lui stesso dichiarato nel suo gravame (cfr. ricorso 25 maggio 2020, pag. 1). Da detta documentazione risulta altresì che il ricorrente non solo ha ricevuto la lettera 20 febbraio 2015 della predetta banca (cfr. atto n. 18.2, pag. 9), ma ne ha anche preso effettivamente conoscenza. Se il ricorrente - come da lui indicato nel suo gravame (cfr. ricorso 24 maggio 2020, pag. 1) - ha dato ordine alla banca di trattenere la corrispondenza, dagli atti risulta che lo stesso si è recato in banca nel mese di novembre 2015 e ha successivamente chiuso il conto il 27 gennaio 2016 (cfr. atto n. 18.2, pag. 10). In tali circostanze, vi è motivo di presumere ch'esso abbia avuto conoscenza di detto scritto. Secondo quanto giustamente indicato dall'autorità inferiore (cfr. decisione impugnata, consid. 8), il ricorrente non ha reagito a detta lettera comprovando la sua conformità fiscale, sicché lo stesso rientra nel modello di comportamento descritto nella domanda raggruppata. In tali circostanze, nel suo caso la trasmissione delle informazioni risulta dunque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il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del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lui versato a suo tempo. Non vi sono poi i presupposti per l'assegnazione al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