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A-2701/2020 vom 9. November 2022</w:t>
      </w:r>
    </w:p>
    <w:p>
      <w:r>
        <w:t>Bundesverwaltungsgericht, 2022-11-09, IT</w:t>
      </w:r>
    </w:p>
    <w:p>
      <w:r>
        <w:rPr>
          <w:b/>
        </w:rPr>
        <w:t xml:space="preserve">Quelle: </w:t>
      </w:r>
      <w:r>
        <w:t>https://mcp.opencaselaw.ch/entscheid/bvger_A-2701_2020</w:t>
      </w:r>
    </w:p>
    <w:p>
      <w:r>
        <w:t>FR: TAF A-2701/2020 du 9 novembre 2022</w:t>
      </w:r>
    </w:p>
    <w:p>
      <w:r>
        <w:t>IT: TAF A-2701/2020 del 9 novembre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27 aprile 2020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E)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C._______/D._______);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C._______/D._______,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C._______/D._______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C._______, ora D._______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C._______/D._______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C._______/D._______,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C._______/D._______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C._______/D._______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suo gravame, il ricorrente censura la violazione del principio della sussidiarietà, nella misura in cui l'autorità richiedente italiana si sarebbe mai rivolta dapprima a lui per chiedergli le informazioni, prima di inoltrare la domanda raggruppata italiana di assistenza amministrativa del 23 novembre 2018. A suo avviso, la mera dichiarazione contenuta in detta domanda, secondo cui sarebbero stati esauriti i mezzi interni di indagine, non sarebbe sufficiente. L'autorità inferiore avrebbe dovuto indagare al riguardo (cfr. ricorso 8 giugno 2020, pag. 2). A suo avviso, la predetta domanda raggruppata italiana andrebbe poi considerata come una « fishing expedition », giacché la stessa sarebbe andata a colpire situazioni in cui la conformità fiscale dei contribuenti con il fisco italiano sarebbe già stata manifesta, segnatamente i contribuenti « compliant » con la normativa fiscale italiana, ovvero i titolari di relazioni bancarie non tenute ad obblighi di monitoraggio e pertanto alla compilazione del Quadro RW del Modello Unico. Non differenziando tra contribuenti ottemperanti e non gli obblighi fiscali italiani, detta domanda costituirebbe dunque una « fishing expedition » (cfr. ricorso 8 giugno 2020, pagg. 2-3). Per finire, egli contesta l'applicabilità all'assistenza amministrativa internazionale - e dunque anche al suo caso - della giurisprudenza del Tribunale federale relativa alla finzione della notifica delle lettere della banca in « fermo banca », a prescindere dalla presa di conoscenza effettiva, da lui considerata sproporzionata e come conducente a delle situazioni manifestamente contrarie al sentimento di giustizia e ed equità, giacché s'egli fosse stato adeguatamente informato presso il proprio domicilio, lo stesso avrebbe adottato diverse strategie e condotte evitando in questo modo di venir colpito dalla domanda raggruppata in oggetto. Nel suo caso, egli non avrebbe mai ricevuto presso il suo domicilio una lettera da parte della banca che lo informava circa le restrizioni ai servizi bancari nel caso in cui non fosse stata fornita alcuna prova di conformità fiscale, bensì unicamente la lettera datata 2 dicembre 2019 della banca, con cui quest'ultima lo avrebbe informato dell'avvio della procedura, specialmente considerando la dimensione decisamente contenuta del conto di cui egli era titolare (cfr. ricorso 8 giugno 2020, pagg. 3-4). 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esso ritiene - contrariamente a quanto stabilito dal Tribunale federale - che la domanda non sia conforme alla CDI CH-IT. Per quanto attiene in particolare alla censura della finzione della notifica in « fermo banca », il Tribunale rileva come la stessa sia qui ininfluente, il Tribunale federale avendo espressamente sancito la sua applicabilità alle domande raggruppate di assistenza amministrativa in materia fiscale e gli argomenti sollevati dal ricorrente non essendo tali da rimetterla qui in discussione (cfr. consid. 4.2.1.2 del presente giudizio).</w:t>
      </w:r>
    </w:p>
    <w:p>
      <w:r>
        <w:rPr>
          <w:b/>
        </w:rPr>
        <w:t>E. 5</w:t>
      </w:r>
    </w:p>
    <w:p>
      <w:r>
        <w:t>Constatata l'ammissibilità della domanda raggruppata italiana di assistenza amministrativa del 23 novembre 2018, occorre ancora stabilire se il ricorrente rientra o meno nel modello di comportamento (lecitamente) ivi descritto dall'autorità richiedente italiana. A tal proposito, lo scrivente Tribunale rileva come, da un esame degli atti dell'incarto - e meglio dalla documentazione fornita dalla banca C._______/D._______ (cfr. atto n. 18.2 dell'inc. AFC) -, risulti chiaramente che durante il periodo interessato dalla predetta domanda raggruppata, il ricorrente era titolare di un conto bancario presso la banca C._______/D._______. Da detta documentazione risulta altresì che il ricorrente ha ricevuto la lettera 20 febbraio 2015 della predetta banca in « fermo banca » (cfr. atto n. 18.2, pag. 2). Ora, il ricorrente - come da lui stesso indicato nel suo gravame (cfr. ricorso 8 giugno 2020, pag. 1) e risultante dalla documentazione bancaria (cfr. atto n. 18.2 dell'inc. AFC, pag. 1) - ha dato ordine alla banca di trattenere la corrispondenza, sicché allo stesso si applica la giurisprudenza del Tribunale federale, secondo cui ci si può attendere dal cliente di una banca ch'egli ne prenda conoscenza entro un anno, con la conseguenza che se non lo fa, lo stesso ne subisca le conseguenze (cfr. consid. 4.2.1.2 del presente giudizio). Nel caso concreto, dalla documentazione bancaria risulta quanto segue (cfr. atto n. 18.2 dell'inc. AFC, pag. 3): « [...] We certify that at least one year has elapsed between the filing of our letter of 20 February 2015 in the Hold Mail system and the closing of the bank relationship in question or the production order of 29 March 2019 [...] ». In tali circostanze, vale la finzione secondo cui si può presumere ch'esso abbia avuto conoscenza di detto scritto. Secondo quanto giustamente indicato dall'autorità inferiore (cfr. decisione impugnata, consid. 8), il ricorrente non ha reagito a detta lettera comprovando la sua conformità fiscale, sicché lo stesso rientra nel modello di comportamento descritto nella domanda raggruppata. Ora, nel suo gravame, il ricorrente contesta di entrare in detto modello di comportamento, facendo valere che il suo conto bancario avrebbe avuto un saldo di (...) al 28 febbraio 2015, ovvero al di sotto delle soglie che farebbero scattare in Italia l'obbligo di dichiarazione in Italia nel periodo rilevante, e meglio l'obbligo di compilazione del Quadro RW, rispettivamente l'obbligo di pagamento dell'imposta sul valore delle attività finanziarie detenute all'estero (IVAFE). In tali circostanze, il suo conto andrebbe considerato come un « conto escluso » dalla domanda di assistenza amministrativa in oggetto ai sensi della lett. e della comunicazione dell'autorità inferiore pubblicata nel Foglio federale del (...), giacché egli non sarebbe stato tenuto a compilare il Quadro RW e sarebbe pertanto stato « compliant » con la normativa italiana (cfr. ricorso 8 giugno 2020, pag. 3). Sennonché tale argomentazione non può essere seguita dallo scrivente Tribunale. Nel caso concreto, la condizione per la concessione dell'assistenza amministrativa non dipende dalla questione a sapere se il ricorrente fosse o meno « compliant » con la normativa italiana, bensì alla questione a sapere s'egli abbia o meno oggettivamente fornito alla banca una prova al riguardo. Orbene, nel suo caso, il ricorrente non ha fornito alla banca alcuna prova quanto alla conformità fiscale del conto bancario alla normativa italiana, lo stesso non avendo reagito alla lettera 20 febbraio 2015 e conseguentemente indicato alla banca alcunché al riguardo. Che ora egli indichi di non essere tenuto a dichiarare il proprio conto in Italia, in ragione del mancato superamento della soglia facente scattare l'obbligo di dichiarazione in Italia, nulla muta al riguardo. Ciò constatato, per quanto concerne la lett. e della comunicazione dell'autorità inferiore pubblicata nel Foglio federale del (...), a cui fa riferimento il ricorrente, il Tribunale rileva che la stessa prevede effettivamente l'esclusione dalla trasmissione d'informazioni i conti: « [...] per i quali il titolare ha fornito all'Amministrazione Federale delle Contribuzioni svizzera la prova che i valori patrimoniali presenti sul/i conto/i alla fine dell'ultimo anno fiscale, per i quali è scaduto il termine per la presentazione della dichiarazione dei redditi, sono stati inclusi nella dichiarazione dei redditi correttamente depositata presso l'amministrazione fiscale italiana, in particolare con il modello RW. Se l'importo dichiarato come detenuto presso gli istituti finanziari svizzeri è superiore al saldo del/i conto/i interessato/i alla fine dell'ultimo anno fiscale, il contribuente deve presentare all'Amministrazione Federale delle Contribuzioni svizzera l'estratto conto relativo agli altri attivi detenuti presso gli istituti finanziari svizzeri per consentire all'Amministrazione Federale delle Contribuzioni svizzera di verificare se i valori patrimoniali dichiarati sono equivalenti ai saldi contabili. Se l'importo dichiarato detenuto presso gli istituti finanziari svizzeri è inferiore al saldo del conto interessato o dei conti interessati alla fine dell'ultimo anno fiscale, non si applica l'esenzione dalla comunicazione del conto o dei conti di cui alla presente lettera [...] ». Ciò presuppone tuttavia che il ricorrente fornisca una prova di tale evenienza, ciò che qui non ha fatto. Ciò sancito, come giustamente rilevato dall'autorità inferiore (cfr. risposta 20 maggio 2022, punti n. 12-15), non spetta in ogni caso allo Stato richiesto determinare gli obblighi fiscali in relazione alle informazioni fornite e le conseguenze fiscali che ne derivano, lo stesso dovendosi limitare a un mero controllo della rilevanza verosimile delle informazioni richieste alla luce della domanda di assistenza amministrativa in oggetto (cfr. consid. 3.3.1 del presente giudizio). Sapere s'egli fosse o meno tenuto a dichiarare in Italia il conto bancario in oggetto, è una questione materiale che andrà esaminata dalle competenti autorità fiscali italiane. La censura sollevata dal ricorrente andrà pertanto, se del caso, fatta valere dinanzi alle competenti autorità fiscali italiane. Si deve dunque concludere che il ricorrente rientra nel modello di comportamento in oggetto e che la trasmissione delle informazioni era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