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A-2694/2015 vom 28. September 2015</w:t>
      </w:r>
    </w:p>
    <w:p>
      <w:r>
        <w:t>Bundesverwaltungsgericht, 2015-09-28, FR</w:t>
      </w:r>
    </w:p>
    <w:p>
      <w:r>
        <w:rPr>
          <w:b/>
        </w:rPr>
        <w:t xml:space="preserve">Quelle: </w:t>
      </w:r>
      <w:r>
        <w:t>https://mcp.opencaselaw.ch/entscheid/bvger_A-2694_2015</w:t>
      </w:r>
    </w:p>
    <w:p>
      <w:r>
        <w:t>FR: TAF A-2694/2015 du 28 septembre 2015</w:t>
      </w:r>
    </w:p>
    <w:p>
      <w:r>
        <w:t>IT: TAF A-2694/2015 del 28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140 francs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Litigieuse est le respect du délai légal de recours (art. 50 al. 1 PA).</w:t>
      </w:r>
    </w:p>
    <w:p>
      <w:r>
        <w:rPr>
          <w:b/>
        </w:rPr>
        <w:t>E. 1.4.1</w:t>
      </w:r>
    </w:p>
    <w:p>
      <w:r>
        <w:t>Selon un principe général du droit exprimé à l'art. 38 PA, une notification irrégulière ne peut entraîner aucun préjudice pour les parties. Ce principe est une émanation du droit à la protection de la bonne foi, qui permet au justiciable de se fier aux indications, même erronées, données par l'autorité, à condition d'avoir lui-même une attitude conforme à la bonne foi, la confiance étant par essence fondée sur la réciprocité (cf. art. 5 al. 3 et art. 9 de la Constitution fédérale de Confédération suisse du 18 avril 1999 [Cst., RS 101] ; ATF 138 I 49 consid. 8.3.2, ATF 134 I 199 consid. 1.3.1 et réf. cit.) ; à cet égard, chacun sait que les décisions deviennent définitives si elles ne sont pas attaquées dans un certain délai (ATF 119 IV 330 consid. 1c ; arrêts du Tribunal administratif fédéral A 584/2010 du 13 octobre 2010 consid. 4.1.2 et A 2039/2006 du 23 avril 2007 consid. 3.1). Il leur appartient donc de se renseigner auprès d'un avocat ou de l'autorité qui a rendu l'acte sur la nature exacte de ce dernier, les voies de droit ouvertes, et d'agir sans délai dès qu'il dispose à cet effet des informations utiles. S'il n'agit pas de la sorte, alors qu'on peut l'exiger de lui, l'administré ne peut plus, par la suite, invoquer la protection de l'art. 38 PA (cf. arrêt du Tribunal administratif fédéral A 584/2010 précité consid. 4.1.2 et réf. cit.).</w:t>
      </w:r>
    </w:p>
    <w:p>
      <w:r>
        <w:rPr>
          <w:b/>
        </w:rPr>
        <w:t>E. 1.4.2</w:t>
      </w:r>
    </w:p>
    <w:p>
      <w:r>
        <w:t>Au cas d'espèce, l'autorité inférieure reconnaît qu'elle a agi avec un certain excès de formalisme dans l'entretien de la correspondance avec le conseil du recourant. Et il est constant que celui ci avait annoncé, préalablement à la notification de la décision, l'élection de domicile en son Etude. En même temps, il appert que, à réception de la décision qui lui a été notifiée par erreur, le recourant ne s'est pas adressé à son avocat, ni ce dernier à son client avant de relancer l'autorité inférieure. Cela étant, la question de la recevabilité du recours peut demeurer ouverte en l'espèce, dans la mesure où il doit en toute hypothèse être rejeté. Il convient ainsi d'examiner le recours au fond.</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qui est domicilié dans le canton (...),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la Direction générale des douanes DGD a édicté des instructions, le 1er septembre 2014, sur les logements de service et logements locatifs. Celles-ci prévoient que, en cas d'assignation dans un centre communautaire, l'indemnité est fixée à 330 francs par chambre (pour les zones 1 à 7, définies à l'art. 11 al. 2 O OPers ; cf. ch. 3.4 des instructions du 1er septembre 2014 précitées) ou à 440 francs par chambre (pour les zones 8 à 13). Un tel centre communautaire contient une infrastructure utilisée en commun (cuisine, salle à manger, salle de séjour) et des chambres meublées avec un bloc sanitaire (WC et/ou douche et/ou lavabo).</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Elles ne devraient dès lors ni être considérées comme des règles de droit ni lier le Tribunal administratif fédéral.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4.1).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en outre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estime, ensuite, que les modalités fixées dans les directives du DFF et les instructions de la DGD pour estimer le dédommagement (forfaitaire) de son logement de fonction violent le principe de la légalité, de l'égalité de traitement et celui de la proportionnalité. Ainsi, les Instructions du 1er septembre 2014 de la DGD s'écarteraient, sans droit, du cadre fixé par l'art. 59 al.1 O-OPers, imposeraient à toutes les personnes occupant un logement de fonction dans l'agglomération de Genève un dédommagement forfaitaire unique, indépendamment de la situation du logement, introduiraient une inégalité de traitement dans la mesure où un garde-frontière célibataire devrait acquitter un dédommagement supérieur à celui occupant un logement familial et, enfin, violerait le principe de la proportionnalité. Pour le surplus, l'augmentation du dédommagement serait également arbitraire et abusive, car le confort de l'appartement en cause n'aurait aucunement été amélioré. L'autorité inférieure lui oppose que la méthode de calcul est objective et repose sur les directives et instructions pertinentes.</w:t>
      </w:r>
    </w:p>
    <w:p>
      <w:r>
        <w:rPr>
          <w:b/>
        </w:rPr>
        <w:t>E. 6.2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6.3.1</w:t>
      </w:r>
    </w:p>
    <w:p>
      <w:r>
        <w:t>La nouvelle estimation du logement de service du recourant repose principalement sur les instructions de la DGD du 1er septembre 2014. Celles-ci prévoient, en leur ch. 3.4, un dédommagement forfaitaire de 250 à 330 francs (appartement communautaire) et de 330 à 440 francs (centre communautaire). Ces logements sont par ailleurs meublés, équipés et disposent, généralement dans une pièce commune, d'un appareil radio/TV. Les coûts de chauffage et les charges, la production d'eau chaude, la consommation normale d'électricité et de gaz, les taxes de raccordement et d'abonnement (concessions comprises) pour un appareil radio/TV et le réseau WIFI sont inclus dans ce dédommagement (cf. ch. 3.5 ss).</w:t>
      </w:r>
    </w:p>
    <w:p>
      <w:r>
        <w:rPr>
          <w:b/>
        </w:rPr>
        <w:t>E. 6.3.2</w:t>
      </w:r>
    </w:p>
    <w:p>
      <w:r>
        <w:t>Au cas d'espèce, le recourant s'est vu attribuer une chambre meublée dans le ménage célibataire de (...) (soit en zone 9, selon l'art. 11 al. 2 O OPers). Selon les instructions du 1er septembre 2014, il s'agit d'un appartement communautaire (absence d'un bloc sanitaire) et le recourant doit s'acquitter d'une indemnité forfaitaire de 330 francs, charges comprises (cf. Instructions, ch. 3.4). A cet égard et quoi qu'en dise le recourant, le Tribunal ne perçoit aucun élément susceptible de remettre en cause ce montant. L'indemnité forfaitaire liée à l'occupation d'un logement de fonction n'a en particulier pas le caractère d'un droit acquis,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 même, et de manière plus générale, l'Etat pouvait prévoir un mode de calcul différent pour les logements de service destinés à être attribués aux agents célibataires (soit un système forfaitaire), dans la mesure où son intention a été de les favoriser au vu de leur situation particulière. A savoir, comme l'expose l'autorité inférieure, faire en sorte de maintenir les logements pour célibataires nettement en dessous de leur valeur afin que les loyers augmentent moins en faveur des jeunes collaborateurs percevant des salaires plus bas et afin de garantir la flexibilité nécessaire aux agents concernés (cf. Bulletin d'information du Chef du Corps des gardes-frontière sur les nouvelles instructions de l'AFD concernant les logements de service du 1er septembre 2014). Si l'on se réfère au loyer moyen dans le canton de Genève, en 2012, on s'aperçoit d'ailleurs d'emblée qu'il est nettement supérieur à celui fixé par l'autorité inférieure (765 francs pour une pièce, sans les charges ; cf. Annuaire statistique du canton de Genève, 2013, T 05.15 p. 126). Ainsi, alors qu'un logement (familial) de fonction représente environ 70 % du loyer d'objets comparables (cf. Directives 2013 du DFF, ch. 3.6), celui destiné à un garde-frontière célibataire représente généralement, dans l'agglomération de Genève, moins de 50 % (si l'on tient compte des charges). Le recourant ne fait par ailleurs valoir aucun élément particulier se rapportant à la situation propre de son logement de service et permettant de retenir une exception à l'application des prescriptions en l'espèce déterminantes. En effet, lorsqu'il allègue que la surface habitable de son logement de fonction devrait s'établir à 26.5 m2 (salle d'eau incluse) pour que les Directives 2013 du DFF permettent de retenir un dédommagement de 330 francs, ce qui ne serait pas le cas, il perd de vue que l'appartement communautaire possède une infrastructure utilisée en commun (cuisine, pièce de vie, sanitaires, hall, etc.) et que, si les Directives du DFF devaient s'appliquer, cette surface habitable devrait également être prise en compte (cf. Directives 2013 du DFF, ch. 3.2) selon une clé de répartition adéquate entre tous les occupants. Les charges seraient également à payer en sus (frais de chauffage, consommation électrique en général, approvisionnement en eau potable, retraitement des eaux usées, abonnement aux programmes TV par câble et à Internet, l'ascenseur, la gérance, le ramassage des ordures et des déchets végétaux, etc.) (cf. Directives 2013 du DFF, ch. 5). En outre, compte tenu de l'importance des rotations des gardes-frontière célibataires, un certain schématisme, tenant compte de la vraisemblance et de normes fondées sur des situations moyennes, est nécessaire. Ce souci de simplification de la procédure est d'ailleurs aussi dans l'intérêt du recourant car il évite une surcharge de l'appareil administratif et lui permet de savoir aisément, lors de chaque rotation, le prix du dédommagement à payer. A cet égard, il convient de rappeler que le montant mensuel de 330 francs fixé par les instructions est relativement faible au regard de la valeur objective de la prestation accordée par l'employeur. Ainsi, tout bien pesé, il ne fait aucun doute qu'un dédommagement forfaitaire (charges comprises) de 330 francs, à Versoix, est en dessous de la valeur objective de la prestation fournie, ne viole pas le principe de l'égalité de traitement ou celui de la légalité et reste dans des limites raisonnables. Le montant de 330 francs, porté à la charge du recourant, échappe dès lors à toute critique. Il ne paraît cependant pas inutile de rappeler que, même si ces points excèdent l'objet du présent litige (cf. supra, consid. 2.2), l'employé bénéficiant d'un logement de service doit prendre soin du logement et de ses équipements. Si les défauts au logement ou au bâtiment excèdent ces menus travaux, il lui appartient de les annoncer au responsable des bâtiments pour leur remise en état (cf. Instructions de la Direction générale des douanes du 1er septembre 2014 [Logements de service et logements locatifs], ch. 1.19 ss).</w:t>
      </w:r>
    </w:p>
    <w:p>
      <w:r>
        <w:rPr>
          <w:b/>
        </w:rPr>
        <w:t>E. 6.3.3</w:t>
      </w:r>
    </w:p>
    <w:p>
      <w:r>
        <w:t>Il n'y avait enfin pas lieu, au vu de l'augmentation modérée (140 francs/mois) et du montant relativement modeste du dédommagement, de prévoir un échelonnement particulier de la hausse dans le temps. Les différents griefs du recourant seront par conséquent rejetés.</w:t>
      </w:r>
    </w:p>
    <w:p>
      <w:r>
        <w:rPr>
          <w:b/>
        </w:rPr>
        <w:t>E. 6.4</w:t>
      </w:r>
    </w:p>
    <w:p>
      <w:r>
        <w:t>Au vu des considérants qui précèdent, la décision attaquée est conforme au droit et le recours s'avère mal fondé, ce qui conduit à son rejet.</w:t>
      </w:r>
    </w:p>
    <w:p>
      <w:r>
        <w:rPr>
          <w:b/>
        </w:rPr>
        <w:t>E. 7.1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7.2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