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A-2681/2007 vom 12. Juli 2007</w:t>
      </w:r>
    </w:p>
    <w:p>
      <w:r>
        <w:t>Bundesverwaltungsgericht, 2007-07-12, FR</w:t>
      </w:r>
    </w:p>
    <w:p>
      <w:r>
        <w:rPr>
          <w:b/>
        </w:rPr>
        <w:t xml:space="preserve">Quelle: </w:t>
      </w:r>
      <w:r>
        <w:t>https://mcp.opencaselaw.ch/entscheid/bvger_A-2681_2007</w:t>
      </w:r>
    </w:p>
    <w:p>
      <w:r>
        <w:t>FR: TAF A-2681/2007 du 12 juillet 2007</w:t>
      </w:r>
    </w:p>
    <w:p>
      <w:r>
        <w:t>IT: TAF A-2681/2007 del 12 luglio 2007</w:t>
      </w:r>
    </w:p>
    <w:p>
      <w:pPr>
        <w:pStyle w:val="Heading2"/>
      </w:pPr>
      <w:r>
        <w:t>Regeste</w:t>
      </w:r>
    </w:p>
    <w:p>
      <w:r>
        <w:t>Redevances de réception radio et télévision</w:t>
      </w:r>
    </w:p>
    <w:p>
      <w:pPr>
        <w:pStyle w:val="Heading2"/>
      </w:pPr>
      <w:r>
        <w:t>Erwägungen</w:t>
      </w:r>
    </w:p>
    <w:p>
      <w:r>
        <w:rPr>
          <w:b/>
        </w:rPr>
        <w:t>E. 1.1</w:t>
      </w:r>
    </w:p>
    <w:p>
      <w:r>
        <w:t>Selon les articles 31 et 33 let. d de la loi sur le Tribunal administratif fédéral du 17 juin 2005 (LTAF, RS 173.32), le TAF connaît des recours contre les décisions au sens de l'art. 5 PA, émanant des départements et des unités de l'administration fédérale qui leur sont subordonnées ou administrativement rattachées. L'OFCOM est une unité de l'administration fédérale subordonnée au Département fédéral de l'environnement, des transports, de l'énergie et de la communication (DETEC). Sa décision du 23 février 2007 satisfait aux conditions posées par l'art. 5 PA. En outre, elle n'entre pas dans le champ d'exclusion de l'art. 32 LTAF. Cela étant, le TAF est compétent pour connaître du litige.</w:t>
      </w:r>
    </w:p>
    <w:p>
      <w:r>
        <w:rPr>
          <w:b/>
        </w:rPr>
        <w:t>E. 1.2</w:t>
      </w:r>
    </w:p>
    <w:p>
      <w:r>
        <w:t>Déposé en temps utile par le destinataire de la décision attaquée (art. 22 ss et 50 PA), le présent recours répond aux exigences de forme et de contenu prévues à l'art. 52 PA, étant donné que l'on comprend ce que veut le recourant. Il est donc en principe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 op. cit., vol. II, p. 260; ATF 132 III 731 consid. 3.5). En conséquence, l'autorité saisie se limite en principe aux griefs soulevés et n'examine les questions de droit non invoquées que dans la mesure où les arguments des parties ou le dossier l'y incitent (ATF 122 V 157 consid. 1a, 121 V 204 consid. 6c; JAAC 61.31 consid. 3.2.2).</w:t>
      </w:r>
    </w:p>
    <w:p>
      <w:r>
        <w:rPr>
          <w:b/>
        </w:rPr>
        <w:t>E. 3</w:t>
      </w:r>
    </w:p>
    <w:p>
      <w:r>
        <w:t>Dans un premier temps, il sied de déterminer quelle réglementation sur la radio et la télévision s'applique in casu, dans la mesure où la nouvelle loi fédérale du 24 mars 2006 sur la radio et la télévision (LRTV, RS 784.40) est entrée en vigueur le 1er avril 2007. La loi fédérale sur la radio et la télévision du 21 juin 1991 (RO 1992 601) a en effet été abrogée par la LRTV, dès le 1er avril 2007. De même, l'ordonnance sur la radio et la télévision du 6 octobre 1997 (RO 1997 2903) a été abrogée par la nouvelle ordonnance du 9 mars 2007 sur la radio et la télévision (ORTV, RS 784.401), dès le 1er avril 2007. On peut se poser la question de savoir si la demande déposée sous l'empire de l'ancien droit doit être envisagée sous l'angle des nouvelles dispositions, en vertu de la règle selon laquelle le nouveau droit s'applique à des situations durables (ANDRÉ GRISEL, Traité de droit administratif, vol. I, Neuchâtel 1984, p. 149 s.; ATF 126 III 431 consid. 2a, 123 V 133 consid. 2a, 122 V 405 consid. 3b) ou s'il faut appliquer l'ancien droit à la période antérieure au 1er avril 2007. Cette question peut cependant demeurer indécise, dès lors que le nouveau droit a repris le système d'exonération mis en place par l'aORTV (FF 2003 1492) dans sa version du 27 juin 2001 en vigueur depuis le 1er août 2001 (RO 2001 p. 1680).</w:t>
      </w:r>
    </w:p>
    <w:p>
      <w:r>
        <w:rPr>
          <w:b/>
        </w:rPr>
        <w:t>E. 4</w:t>
      </w:r>
    </w:p>
    <w:p>
      <w:r>
        <w:t>Le litige revient à examiner à quelles conditions le recourant peut être exonéré de la redevance de radio et de télévision.</w:t>
      </w:r>
    </w:p>
    <w:p>
      <w:r>
        <w:rPr>
          <w:b/>
        </w:rPr>
        <w:t>E. 4.1</w:t>
      </w:r>
    </w:p>
    <w:p>
      <w:r>
        <w:t>Selon l'art. 68 al. 6 LRTV (cf. art. 55 aLRTV), qui traite de l'obligation de payer la redevance et d'annoncer les récepteurs : « Le Conseil fédéral règle les modalités. Il peut exempter certaines catégories de personne de l'obligation de payer la redevance et d'annoncer. » L'art. 64 ORTV (cf. art. 45 aORTV) dispose : « Sur demande écrite, l'organe de perception de la redevance exonère de l'obligation de payer la redevance les personnes ayant droit aux prestations annuelles à l'AVS ou à l'AI conformément à l'art. 3, al. 1, let. a, de la loi fédérale du 19 mars 1965 sur les prestations complémentaires à l'assurance-vieillesse, survivants et invalidité, pour autant qu'elles fournissent une décision ayant force de chose jugée concernant leur droit aux prestations complémentaires. Si la demande est approuvée, l'obligation de payer la redevance prend fin le dernier jour du mois au cours duquel la demande d'exonération a été déposée. Quiconque dépose une demande de prestations complémentaires auprès de l'autorité compétente peut en même temps adresser une requête d'exonération de la redevance à l'organe de perception de la redevance. Ce dernier suspend la procédure jusqu'à ce qu'il y ait une décision ayant force de chose jugée concernant la demande de prestations complémentaires. L'organe de perception de la redevance vérifie à intervalles réguliers que les conditions de l'exonération sont encore remplies. » L'art. 1a al. 1 de la loi fédérale du 19 mars 1965 sur les prestations complémentaires à l'assurance-vieillesse, survivants et invalidité (LPC, RS 831.30) prévoit : « La Confédération octroie des subventions aux cantons qui accordent, en vertu de dispositions particulières conformes aux exigences de la présente loi, des prestations complémentaires aux bénéficiaires de rentes de l'AVS et de l'AI. » Selon l'art. 1a al. 4 LPC : « Est réservée la compétence des cantons d'allouer, indépendamment de celles qui sont prévues par la présente loi, des prestations d'assurance ou d'aide et d'en fixer les conditions d'octroi. Ils ne peuvent percevoir à cet effet des cotisations auprès des employeurs. »</w:t>
      </w:r>
    </w:p>
    <w:p>
      <w:r>
        <w:rPr>
          <w:b/>
        </w:rPr>
        <w:t>E. 4.2</w:t>
      </w:r>
    </w:p>
    <w:p>
      <w:r>
        <w:t>Le message sur la nouvelle réglementation sur la radio et télévision revenant sur l'aLRTV retient (FF 2003 1491) : « La législation actuelle [l'aLRTV]¿ autorise le Conseil fédéral à exonérer certaines catégories de personnes de la redevance. Le Conseil fédéral fait usage de cette compétence pour exonérer les rentiers AVS et AI à faible revenu, étant donné que ces personnes sont souvent limitées dans leur mobilité et leurs occasions de communiquer, et qu'elles dépendent donc dans une plus grande mesure de la radio et de la télévision. En vertu d'un arrêt du Tribunal fédéral qui critiquait l'ancienne pratique restrictive, la notion de faible revenu est désormais assimilée au droit aux prestations complémentaires. » En effet, il ressort de la jurisprudence citée dans le message que « [...] tous les rentiers qui touchent de telles prestations [les prestations complémentaires à l'AVS/AI] parce que leur rente AVS/AI est insuffisante pour couvrir leurs besoins élémentaires entrent en principe dans la catégorie des personnes ayant un revenu modeste (Arrêt du Tribunal fédéral 2A.283/2000 du 5 janvier 2001 consid. 3c) ». Partant, les personnes touchant des prestations complémentaires fédérales à l'AVS/AI, sont considérées comme disposant d'un faible revenu et peuvent être exonérées de la redevance radio et télévision, conformément à l'art. 64 ORTV (cf. art. 45 aORTV). Parallèlement au système des prestations complémentaires fédérales, il ressort de l'art. 1a al. 4 LPC que les cantons ont toujours la possibilité d'accorder des prestations complémentaires qui sortent du cadre de la LPC et d'en fixer les conditions d'octroi (cf. sur cette question, RALPH JÖHL, Ergänzungsleistungen zur AHV/IV, in : Schweizerisches Verwaltungsrecht, soziale Sicherheit, Bâle 2007, p. 1649, n. 15). Il convient dès lors de distinguer les prestations complémentaires fédérales des prestations complémentaires cantonales, dans la mesure où, comme l'indique l'art. 64 ORTV en relation avec l'art. 1a al. 1 et al. 4 LPC, seules les premières ouvrent le droit à l'exonération de la redevance radio et télévision. Il est vrai que le système peut apparaître comme rigide car une personne qui dispose d'un revenu modeste, mais qui ne touche pas de prestations complémentaires fédérales, ne sera pas exonérée de la redevance. Le Tribunal fédéral a toutefois relevé que l'on ne pouvait pas y voir une inégalité de traitement contraire à la Constitution fédérale, dès lors que le système d'aide sociale prévoit d'autres correcteurs, par exemple le versement d'autres prestations sociales (Arrêt du TF 2A.426/2002 du 23 juin 2003 consid. 2.4). Or, tel est précisément le cas du recourant, qui touche des prestations sociales sur le plan cantonal.</w:t>
      </w:r>
    </w:p>
    <w:p>
      <w:r>
        <w:rPr>
          <w:b/>
        </w:rPr>
        <w:t>E. 4.3</w:t>
      </w:r>
    </w:p>
    <w:p>
      <w:r>
        <w:t>En l'occurrence, le 6 avril 2006, l'Office cantonal a octroyé au recourant des prestations complémentaires cantonales et en aucun cas fédérales. Billag SA en a été informée le 2 mai 2006, de telle sorte qu'elle a rejeté la demande d'exonération du recourant. De plus, par courriers des 22 mai et 28 septembre 2006, le recourant a également indiqué à Billag SA que l'Office cantonal prenait en charge une partie de ses frais médicaux. Ces lettres ne font pas état du fait que le recourant recevrait des prestations complémentaires fédérales. Les 4 juillet et 6 novembre 2006, le recourant a en outre produit une attestation de la Caisse cantonale genevoise de compensation, selon laquelle il était bénéficiaire d'une rente AI simple. Il ne résulte en aucun cas de cette attestation que le recourant bénéficierait de prestations complémentaires fédérales. Enfin, le 13 décembre 2006, le recourant a fait parvenir à Billag SA une décision de l'Office cantonal concernant l'octroi de prestations complémentaires fédérales et cantonales pour la période du 1er janvier au 23 février 2003. Cet élément n'est cependant pas déterminant. On ne saurait tenir compte du fait que le recourant a été au bénéfice de prestations complémentaires fédérales antérieurement à sa demande d'exonération et durant une période limitée dans le temps. Cela reviendrait en effet à exonérer indéfiniment toutes les personnes qui auraient disposé, au cours de leur vie, de prestations complémentaires fédérales, mais qui n'en bénéficient plus lors de leur demande d'exonération. Par conséquent, aucun élément du dossier ne permet d'établir que le recourant était au profit de prestations complémentaires fédérales à compter du 1er mai 2006. Le recourant, à qui il appartenait de collaborer (art. 13 PA; cf. supra consid. 2), n'a du reste fourni aucune pièce démontrant qu'il bénéficiait de telles prestations au moment de la demande d'exonération ou qu'une procédure visant à obtenir des prestations complémentaires fédérales serait en cours. L'exonération des redevances ne peut entrer en ligne de compte. Partant, son recours doit être rejeté.</w:t>
      </w:r>
    </w:p>
    <w:p>
      <w:r>
        <w:rPr>
          <w:b/>
        </w:rPr>
        <w:t>E. 5</w:t>
      </w:r>
    </w:p>
    <w:p>
      <w:r>
        <w:t>Conformément à l'art. 63 al. 1 PA, les frais de procédure comprenant l'émolument d'arrêté, les émoluments de chancellerie et les débours sont mis à la charge de la partie qui succombe. Il convient de tenir compte des revenus modestes du recourant dans la fixation de l'émolument, de sorte que les frais seront fixés au minimum prévu par la loi (art. 4 et 6 let. b du Règlement du 11 décembre 2006 concernant les frais, dépens et indemnités fixés par le TAF, FITAF, RS 173.320.2). Dans le cas présent, les frais fixés à 200.-- francs doivent donc être mis à la charge du recourant. Dans la mesure où le recourant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