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A-2664/2012 vom 17. Dezember 2012</w:t>
      </w:r>
    </w:p>
    <w:p>
      <w:r>
        <w:t>Bundesverwaltungsgericht, 2012-12-17, FR</w:t>
      </w:r>
    </w:p>
    <w:p>
      <w:r>
        <w:rPr>
          <w:b/>
        </w:rPr>
        <w:t xml:space="preserve">Quelle: </w:t>
      </w:r>
      <w:r>
        <w:t>https://mcp.opencaselaw.ch/entscheid/bvger_A-2664_2012</w:t>
      </w:r>
    </w:p>
    <w:p>
      <w:r>
        <w:t>FR: TAF A-2664/2012 du 17 décembre 2012</w:t>
      </w:r>
    </w:p>
    <w:p>
      <w:r>
        <w:t>IT: TAF A-2664/2012 del 17 dicembre 2012</w:t>
      </w:r>
    </w:p>
    <w:p>
      <w:pPr>
        <w:pStyle w:val="Heading2"/>
      </w:pPr>
      <w:r>
        <w:t>Regeste</w:t>
      </w:r>
    </w:p>
    <w:p>
      <w:r>
        <w:t>Taxe sur la valeur ajoutée</w:t>
      </w:r>
    </w:p>
    <w:p>
      <w:pPr>
        <w:pStyle w:val="Heading2"/>
      </w:pPr>
      <w:r>
        <w:t>Erwägungen</w:t>
      </w:r>
    </w:p>
    <w:p>
      <w:r>
        <w:rPr>
          <w:b/>
        </w:rPr>
        <w:t>E. 3</w:t>
      </w:r>
    </w:p>
    <w:p>
      <w:r>
        <w:t>En l'espèce, il convient d'examiner si la réclamation déposée par la recourante le 23 avril 2010 respectait les conditions de forme prévues par la LTVA (cf. consid. 3.1 ci-après), puis de se demander si le délai de régularisation accordé par l'autorité inférieure était admissible eu égard à sa brièveté (cf. consid. 3.2 ci-dessous).</w:t>
      </w:r>
    </w:p>
    <w:p>
      <w:r>
        <w:rPr>
          <w:b/>
        </w:rPr>
        <w:t>E. 3.1</w:t>
      </w:r>
    </w:p>
    <w:p>
      <w:r>
        <w:t>La réclamation de la recourante du 4 juin 2010 ne s'annonce pas comme telle. Il s'agit d'un bref courrier dans lequel la recourante indique qu'elle remettra ultérieurement des décomptes rectifiés des années 2007 à 2009, après qu'il serait apparu que "des prestations importantes de la société ne sont pas soumises à la TVA". Incidemment, la recourante indique à l'administration ceci: "Pour la bonne forme, nous vous prions de considérer la présent[e] comme réclamation au sens de l'article 83 al. 1 LTVA." Comme l'autorité inférieure l'a constaté, la recourante n'a ainsi fourni ni conclusions, ni motivation, ni moyens de preuve dans le cadre de sa réclamation. On ne saurait considérer que la seule phrase "des prestations importantes de la société ne sont pas soumises à la TVA" suffise à exprimer les motifs de la réclamation. Le fax du 14 mars 2012 par lequel la mandataire de la recourante informe l'AFC qu'elle ne pourra pas régulariser la réclamation dans le délai imparti ne contient aucune information supplémentaire. La recourante considère que l'AFC aurait dû déduire les motifs de sa réclamation d'un téléphone du 4 juin 2010, lors duquel elle aurait exprimé son point de vue oralement. Toutefois, la loi prévoit clairement que la réclamation doit avoir lieu par écrit (art. 83 al. 2 LTVA) et l'on ne saurait conclure d'un téléphone, dont l'objet reste au demeurant tout à fait obscur, que l'administration est suffisamment renseignée sur les motifs d'une réclamation. De même que l'assujetti a le droit d'obtenir des décisions motivées par écrit, de même l'administration doit-elle recevoir les griefs des contribuables - même rédigés sommairement - sous forme écrite. C'est le seul moyen qui permette d'établir les problèmes de manière claire et de contrôler les réponses qui leur sont apportées. Dans la mesure où les motifs de la réclamation sont de toute façon insuffisants, il n'est pas nécessaire de se demander si, comme le prétend la recourante, l'autorité inférieure aurait dû déduire les conclusions du contexte, dans la mesure où celles-ci ne sont pas formulées explicitement. Toutefois, le Tribunal de céans doute qu'une telle manière de voir soit défendable ici. Le courrier du 4 juin 2010 n'explique absolument pas ce qui est réclamé et annonce juste la production de documents. On peut à la limite admettre que, en présence de motifs clairs, l'administration doive interpréter des conclusions mal formulées; mais ici, en l'absence de motifs précis, on ne peut attendre de l'administration qu'elle reconstitue à la fois les raisons et les conclusions de la réclamation, a fortiori en l'absence de toute preuve ou pièce. Un simple "obiter dictum" d'une partie ne saurait suffire à fonder une réclamation complète et l'on ne peut reprocher à l'administration de faire preuve de formalisme excessif lorsqu'elle demande la régularisation de l'acte. Sur cette base, force est de constater que la réclamation litigieuse ne satisfait pas aux exigences de motivation minimum de la loi (cf. consid. 2.1 ci-dessus). C'est donc à juste titre que l'AFC a imparti à la recourante un délai pour régulariser son écriture.</w:t>
      </w:r>
    </w:p>
    <w:p>
      <w:r>
        <w:rPr>
          <w:b/>
        </w:rPr>
        <w:t>E. 3.2</w:t>
      </w:r>
    </w:p>
    <w:p>
      <w:r>
        <w:t>L'AFC a accordé à la recourante un délai de dix jours, à compter de la notification, pour procéder à la régularisation. La recourante considère que, après deux ans d'inactivité, l'administration serait tombée dans l'arbitraire et aurait abusé de son pouvoir d'appréciation en lui impartissant un délai aussi court et en lui refusant d'avance une prolongation.</w:t>
      </w:r>
    </w:p>
    <w:p>
      <w:r>
        <w:rPr>
          <w:b/>
        </w:rPr>
        <w:t>E. 3.2.1</w:t>
      </w:r>
    </w:p>
    <w:p>
      <w:r>
        <w:t>Certes, l'art. 83 al. 3 LTVA (l'art. 59 al. 2 PA respectivement) doit permettre aux parties de corriger un acte de procédure déficient et non de gagner du temps (cf. consid. 2.2 ci-dessus). Il ne serait pas juste que la partie qui se montre négligente bénéficie d'un délai plus long pour élaborer son recours ou sa réclamation que celle qui fait l'effort de produire d'emblée un acte correct. Dès lors, comme l'indique la jurisprudence susmentionnée (cf. consid. 2.2 ci-dessus), le délai de régularisation doit être court, afin qu'il serve uniquement à opérer les corrections nécessaires. Néanmoins, on peut se demander si, après qu'une réclamation ou un recours a attendu deux ans ou presque, la règle en question garde sa pertinence. Après une telle attente, le risque d'abus devient nettement moindre. Si une partie a escompté tirer profit du délai de régularisation pour améliorer ses arguments, elle a déjà eu amplement le temps d'y réfléchir et ce n'est plus en lui impartissant un délai très court qu'on l'empêchera de profiter de la situation. En revanche, il est certainement moins facile de répondre à une requête qui concerne une affaire oubliée depuis des mois que de corriger un acte qu'on vient d'envoyer à l'autorité. De plus, lorsqu'un acte de partie pose problème, l'autorité le fait en général savoir rapidement. Donc, si aucune remarque n'est formulée par celle-ci dans un délai raisonnable, cela signifie le plus souvent que l'acte en question ne doit pas être corrigé à la forme. Il est douteux qu'on puisse exiger d'un citoyen qu'il reste des années sur le qui-vive, après avoir envoyé quelque chose à l'autorité, pour être prêt à le régulariser en tout temps en quelques jours. Ainsi, il semble judicieux de faire preuve de souplesse dans la fixation du délai de régularisation lorsque l'autorité ne remarque pas d'emblée qu'un acte est vicié ou qu'elle n'en réclame pas directement la correction. Reste à savoir si, en l'occurrence, le comportement de l'autorité prête le flanc à la critique.</w:t>
      </w:r>
    </w:p>
    <w:p>
      <w:r>
        <w:rPr>
          <w:b/>
        </w:rPr>
        <w:t>E. 3.2.2</w:t>
      </w:r>
    </w:p>
    <w:p>
      <w:r>
        <w:t>Dans son courrier du 4 juin 2010, la recourante indique d'emblée qu'elle va produire de nouveaux décomptes à la suite de la discussion téléphonique qu'elle a eue avec l'autorité inférieure. Il s'agit même de l'objet principal de ce courrier, qui ne sert qu'accessoirement à faire valoir une réclamation. Sur cette base, l'administration pouvait s'attendre un complément spontané de la part de la recourante et il était normal que celle-ci n'exige pas immédiatement la régularisation de l'acte. Agissant ainsi, elle faisait même preuve de bienveillance, puisque cela donnait à la recourante le temps d'établir les documents nécessaires. Cependant, la recourante ne s'étant plus manifestée ensuite, l'autorité inférieure n'avait d'autre choix que de lui fixer un délai formel de régularisation. En fixant ce délai à dix jours, cette dernière a déjà largement prolongé le délai habituel, qui est plutôt de trois jours (cf. consid. 2.2 ci-dessus). De ce point de vue, l'autorité inférieure a agi de manière correcte et elle a su tenir compte des circonstances.</w:t>
      </w:r>
    </w:p>
    <w:p>
      <w:r>
        <w:rPr>
          <w:b/>
        </w:rPr>
        <w:t>E. 3.2.3</w:t>
      </w:r>
    </w:p>
    <w:p>
      <w:r>
        <w:t>Il faut encore se demander si la problématique de la prolongation de délai a été traitée de manière appropriée. L'autorité inférieure a indiqué d'emblée dans son courrier du 5 mars 2012 (pièce 17 de l'AFC) qu'elle n'accorderait aucune prolongation de délai. Par télécopie du 14 mars 2012, la fiduciaire de la recourante a néanmoins indiqué à l'autorité inférieure que "son client" était absent et qu'il ne lui serait possible de répondre que pour la fin du mois de mars 2012. Même si le fax en question ne se présente pas explicitement comme une requête de prolongation de délai, telle est indubitablement sa substance (sur l'interprétation des déclarations de partie dans le cadre d'une procédure, voir par exemple ATF 126 II 97 consid. 4.b; arrêt du Tribunal fédéral 2C_350/2011 du 17 octobre 2011 consid. 2.4). Dans la décision attaquée, l'autorité inférieure n'examine pas la question de la prolongation de délai. Elle estime apparemment que sa réponse à la requête de la recourante se trouve déjà dans le courrier du 5 mars 2012, qui exclut toute prolongation du délai de dix jours, et qu'il n'y a donc plus besoin de se pencher sur ce sujet. Cependant, dans le cas présent, cette pratique est contestable. Par essence, la prolongation de délai doit permettre à l'autorité de tenir compte des circonstances qui justifient de reporter l'échéance de délais qu'elle a elle-même fixés. Or, lorsque l'administration rompt subitement une période de silence de presque deux ans, elle doit s'attendre à ce que la situation ait changé, à ce qu'il soit plus difficile de répondre à ses exigences ou, simplement, à ce que l'assujetti ne soit pas en mesure de réagir immédiatement. De ce point de vue, un refus préalable et général de toute prolongation de délai paraît difficilement compatible avec le principe de la bonne foi et l'interdiction du formalisme excessif. D'une part, l'administration agirait de manière contradictoire en tolérant une longue attente, puis en exigeant soudainement une réaction rapide. D'autre part, l'art. 83 al. 3 LTVA ne se prête pas à une interprétation schématique, qui fasse abstraction du cas d'espèce. Si, de plus, la partie concernée demande une prolongation de délai, l'administration ne peut se contenter de la rejeter en faisant référence, implicitement de surcroît, à son refus de principe, sans examiner les motifs invoqués. Comme on l'a vu, le droit d'être entendu inclut également le droit d'obtenir des décisions motivées. A cet égard, la décision attaquée s'avère également insuffisante, puisqu'elle n'explique pas en quoi la requête de la recourante devrait être rejetée eu égard aux circonstances. Enfin, le délai de dix jours fixé par l'autorité inférieure ne paraît pas en lui-même si long qu'il exclue d'emblée toute prolongation. L'unité de temps en cause reste le jour, et non le mois ou l'année. Que, après qu'un dossier soit resté en attente si longtemps, on accorde à un contribuable quelques jours de plus ne saurait lui offrir un avantage considérable ni remettre en cause le déroulement général de la procédure. Au vu de ce qui précède, il faut constater que l'AFC a violé le droit fédéral en indiquant d'emblée que le délai qu'elle fixait était non prolongeable et en omettant de statuer sur la prolongation requise par la recourante. Il convient ainsi de lui renvoyer le dossier pour qu'elle traite de la requête en question, le Tribunal de céans n'étant pas en mesure de prendre lui-même une décision sur ce point.</w:t>
      </w:r>
    </w:p>
    <w:p>
      <w:r>
        <w:rPr>
          <w:b/>
        </w:rPr>
        <w:t>E. 4</w:t>
      </w:r>
    </w:p>
    <w:p>
      <w:r>
        <w:t>En application des considérants, le recours doit être admis. Selon l'article 63 al. 1 PA, les frais de procédure, comprenant l'émolument d'arrêté, les émoluments de chancellerie et les débours, sont, en règle générale, mis à la charge de la partie qui succombe. Toutefois, en application de l'art. 63 al. 2 PA, aucuns frais de procédure ne peuvent être mis à la charge des autorités inférieures déboutées. L'art. 64 al. 1 PA prévoit que l'autorité de recours peut allouer, d'office ou sur requête, à la partie ayant entièrement ou partiellement obtenu gain de cause, une indemnité pour les frais indispensables et relativement élevés qui lui ont été occasionnés (cf. également art. 7 ss du Règlement du 21 février 2008 concernant les frais, dépens et indemnités fixés par le Tribunal administratif fédéral [FITAF, RS 173.320.2]). L'art. 14 al. 2 FITAF indique que le Tribunal fixe les dépens sur la base de l'éventuel décompte remis par la partie concernée. A défaut, il fixe l'indemnité sur la base du dossier. En l'occurrence, la recourante obtient gain de cause, de sorte que les frais de procédure ne peuvent être mis à la charge de l'AFC. L'avance de frais de Fr. 1'000.-- versée par la recourante devra lui être restituée. Vu l'issue du litige, la recourante, qui est représentée par un avocat, a droit à des dépens. En l'absence de décompte, le Tribunal de céans estime adéquat de fixer l'indemnité à Fr. 1'500.--, compte tenu de la nature de la cause et de son degré de complexité.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