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A-2648/2019 vom 27. Mai 2020</w:t>
      </w:r>
    </w:p>
    <w:p>
      <w:r>
        <w:t>Bundesverwaltungsgericht, 2020-05-27, FR</w:t>
      </w:r>
    </w:p>
    <w:p>
      <w:r>
        <w:rPr>
          <w:b/>
        </w:rPr>
        <w:t xml:space="preserve">Quelle: </w:t>
      </w:r>
      <w:r>
        <w:t>https://mcp.opencaselaw.ch/entscheid/bvger_A-2648_2019</w:t>
      </w:r>
    </w:p>
    <w:p>
      <w:r>
        <w:t>FR: TAF A-2648/2019 du 27 mai 2020</w:t>
      </w:r>
    </w:p>
    <w:p>
      <w:r>
        <w:t>IT: TAF A-2648/2019 del 27 maggio 2020</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En sa qualité de destinataire de la décision du 29 avril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2</w:t>
      </w:r>
    </w:p>
    <w:p>
      <w:r>
        <w:t>Dans un premier grief, le recourant se plaint d'une constatation inexacte des faits pertinents (n. marg. 8 et 26 du mémoire de recours). Il reproche en substance à l'autorité inférieure d'avoir constaté à tort que les subventions cantonales pour les forêts protectrices et la biodiversité ne sont pas attribuées au recourant, mais aux bourgeoisies concernées. Il ressort cependant clairement de la décision entreprise (cf. notamment ch. 4.1 p. 9) que l'autorité inférieure n'ignore pas que lesdites subventions sont versées directement en mains du recourant, mais considère en revanche que ce dernier n'en est pas le véritable destinataire (voir aussi ch. 2.2 du mémoire de réponse du 25 juin 2019).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 ci-avant et consid. 5 ci-après). Pour le surplus, le recourant dénonce une violation du droit fédéral, arguant principalement du caractère de subventions des montants encaissés, lesquels ne seraient par conséquent pas imposables (cf. n. marg. 8 et 22 ss du mémoire de recours). Avant tout autre examen, il sied donc de revenir sur la notion d'opération imposable (consid. 3.1 ci-après), ainsi que sur la notion et le traitement fiscal des subventions (consid. 3.2 ci-après).</w:t>
      </w:r>
    </w:p>
    <w:p>
      <w:r>
        <w:rPr>
          <w:b/>
        </w:rPr>
        <w:t>E. 3.1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2016 II 458] et 138 II 239 consid. 3.2 ; arrêt du TF 2C_323/2019 du 20 septembre 2019 consid. 5.2 ; arrêts du TAF A-3156/2017 du 30 janvier 2019 consid. 2.1.3 et A-849/2014 du 15 juillet 2015 consid. 3.2.2 ; Sonja Bossart/Diego Clavadetscher, in : Zweifel et. al. [édit.], Kommentar zum Schweizerischen Steuerrecht, Bundesgesetz über die Mehrwertsteuer, 2015 [ci-après cité :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A-3156/2017 précité consid. 2.1.3 et A-4786/2012 du 12 septembre 2013 consid. 2.2.2 ; voir aussi Bossart/ Clavadetscher, op. cit., n° 23 ad art. 18 et la jurisprudence citée, pour lesquels l'équivalence économique entre prestation et contre-prestation n'est pas une condition essentielle de l'opération TVA ; dans ce sens également, cf. arrêt du TAF A-849/2014 précité consid. 3.2.2 i.f.). Les rapports de droit privé qui peuvent être à la base des prestations ont en principe valeur d'indice, mais ne sauraient à eux seuls justifier une qualification fiscale (cf. ATAF 2007/23 consid. 2.3.2 ; arrêt du TAF A-239/2016 précité consid. 3.1.3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2C_323/2019 précité consid. 5.2 et 2C_233/2019 précité consid. 5.1 ; arrêt du TAF A-239/2016 précité consid. 3.1.3).</w:t>
      </w:r>
    </w:p>
    <w:p>
      <w:r>
        <w:rPr>
          <w:b/>
        </w:rPr>
        <w:t>E. 3.2.1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précité consid. 3.3 ; Bossart/ Clavadetscher, op. cit., n°131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3.2.2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2C_826/2016 précité consid. 2.5 ; arrêts du TAF A-239/2016 précité consid. 3.3.3.2 et A-6381/2015 précité consid. 2.2.1.4 ; cf. également Info TVA n° 5, « Subventions et dons » [ci-après citée : Info TVA n° 5], ch. 1.4.2 ; voir aussi consid. 3.1 et 3.2.1 ci-avant). Comme le Tribunal fédéral a eu l'occasion de le rappeler récemment, même dans le cas d'une subvention, il est attendu du bénéficiaire de celle-ci une sorte de « contrepartie », à savoir qu'il se comporte d'une manière conforme au but d'intérêt public en vue duquel la subvention a été octroyée (cf. ATF 141 II 182 consid. 3.5 ; arrêts du TF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FF 2008 6277, p. 6348 s.). La distinction entre subvention et contre-prestation imposable pouvant s'avérer difficile, les circonstances concrètes du cas d'espèce sont déterminantes pour apprécier s'il existe, ou non, un échange de prestations (cf. arrêts du TF 2C_585/2017 précité consid. 3.4, 2C_826/2016 précité consid. 2.5 et 2A.273/2004 du 1er septembre 2005 consid. 2.3). Dans sa jurisprudence, le Tribunal fédéral a dégagé des critères permettant de déterminer s'il s'agit d'une subvention, le cas échéant d'un don, ou au contraire d'une contre-prestation imposable.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(cf. ATF 141 II 182 consid. 3.5 ; arrêts du TF 2C_323/2019 précité consid. 5.4 et 2C_196/2012 du 10 décembre 2012 consid. 2.5). Peut en revanche constituer un indice en faveur de l'existence d'un rapport de prestations le fait que l'auteur de la contre-prestation a un intérêt à l'exécution de la prestation (cf. arrêt du TF 2A.166/2005 du 8 mai 2006 consid. 4.3 et la jurisprudence citée ; cf. également arrêt du TAF A-239/2016 précité consid. 6.2.1). Comme on l'a vu (cf. ci-dessus), l'intérêt du contributeur peut en particulier consister en ceci que la prestation du bénéficiaire le décharge d'une tâche lui incombant.</w:t>
      </w:r>
    </w:p>
    <w:p>
      <w:r>
        <w:rPr>
          <w:b/>
        </w:rPr>
        <w:t>E. 3.2.3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tels fonds à ce dernier ne s'inscrit pas dans le cadre d'un échange de prestations et il n'y a donc pas d'opération imposable entre le tiers auquel les subventions sont versées et leur destinataire final, auquel elles sont ensuite transmises (cf. Geiger, op. cit., n° 51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52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4.1</w:t>
      </w:r>
    </w:p>
    <w:p>
      <w:r>
        <w:t>Conformément à l'art. 77 Cst., la Confédération veille à ce que les forêts puissent remplir leurs fonctions protectrice, économique et sociale (al. 1). Elle fixe les principes applicables à la protection des forêts (al. 2) et encourage les mesures de conservation des forêts (al. 3). Sur cette base, le législateur a arrêté la loi fédérale du 4 octobre 1991 sur les forêts (LFo, RS 921.0), que les cantons sont chargés d'exécuter sous réserve de l'art. 49 LFo , notamment en édictant les dispositions nécessaires (art. 50 al. 1 LFo). Les cantons veillent à ce que le service forestier soit organisé de façon judicieuse (art. 51 al. 1 LFo) et divisent leur territoire en arrondissement forestiers et en triages forestiers (art. 51 al. 2 LFo).</w:t>
      </w:r>
    </w:p>
    <w:p>
      <w:r>
        <w:rPr>
          <w:b/>
        </w:rPr>
        <w:t>E. 4.2</w:t>
      </w:r>
    </w:p>
    <w:p>
      <w:r>
        <w:t>La loi valaisanne du 14 septembre 2011 sur les forêts et les dangers naturels (RSV 921.1 ; ci-après citée : LcFDN), qui complète et exécute la législation fédérale en la matière, prévoit à son art. 6 que le Conseil d'Etat du canton du Valais répartit le territoire en arrondissements (al. 1) et que ceux-ci conseillent les communes, les propriétaires de forêts ainsi que les tiers concernés sur toutes les questions ayant trait à la forêt et aux dangers naturels (al. 2). Aux termes de l'art. 7 LcFDN, afin de garantir, dans le domaine forestier, l'accomplissement des tâches légales et d'intérêt public au niveau communal et régional, les arrondissements sont divisés en triages formés d'un ou plusieurs propriétaires de forêts et auxquels les communes municipales peuvent adhérer (al. 1). S'agissant de la gestion des forêts, celle-ci incombe, selon la loi cantonale, à leurs propriétaires (art. 32 al. 1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5.1</w:t>
      </w:r>
    </w:p>
    <w:p>
      <w:r>
        <w:t>En l'espèce, il résulte du recours, dont les conclusions et les motifs définissent l'objet du litige (cf. arrêts du TAF A-4783/2015 du 20 février 2017 consid. 1.5.1 et A-2108/2016 du 25 août 2016 consid. 1.3 ; Moser/ Beusch/Kneubühler, op. cit., n. marg. 2.1 ss), que le recourant ne conteste plus la notification d'estimation du 17 juin 2015 fixant la correction de l'impôt à Fr. 20'476.-- , mais uniquement les modifications apportées sur la décision du 28 juin 2018 confirmées par la décision dont est recours à hauteur de Fr. 111'948.--. Ne demeure ainsi litigieuse que l'imposition des contributions versées par l'Etat du Valais et les communes municipales concernées en lien les forêts protectrices et les mesures en faveur de la biodiversité en forêt. Dans la mesure où les art. 48 et 49 LcFDN prévoient expressément l'octroi de subventions cantonales et communales en vue de soutenir la réalisation de telles tâches (cf. consid. 4.2 ci-avant), il convient en l'occurrence de constater, avec les parties et comme le Tribunal fédéral l'a observé dans son arrêt 2C_323/2019 précité (cf. consid. 7.2) concernant le cas d'un autre triage forestier valaisan (cf. let. C ci-avant), que les contributions en cause constituent des indemnités au sens de l'art. 5 al. 1 let. a 1er tiret LcSU, soit des prestations pécuniaires visant à atténuer ou compenser les charges financières résultant de l'exécution de tâches prescrites par le droit public cantonal (cf. consid. 3.2.1 ci-avant). Il s'agit dès lors à présent d'examiner la question du rapport de prestations, dont l'absence est nécessaire pour retenir l'existence d'une subvention au sens de l'art. 18 al. 2 let. a LTVA et exclure l'imposition au titre de la TVA (cf. consid. 3.2.1 ci-avant).</w:t>
      </w:r>
    </w:p>
    <w:p>
      <w:r>
        <w:rPr>
          <w:b/>
        </w:rPr>
        <w:t>E. 5.2</w:t>
      </w:r>
    </w:p>
    <w:p>
      <w:r>
        <w:t>Comme le Tribunal administratif fédéral puis le Tribunal fédéral l'ont constaté dans le cadre du litige opposant un autre triage forestier valaisan à l'AFC, la LcFDN ne contient pas d'indication concernant le destinataire des subventions cantonales et communales (cf. arrêt du TAF A-2786/2017 du 28 février 2019 consid. 3.2.2.2 et arrêt du TF 2C_323/2019 précité consid. 7.3). En revanche, l'ordonnance cantonale du 30 janvier 2013 sur les forêts et les dangers naturels (RSV 921.100 ; ci-après citée : OcFDN) prévoit, à ses art. 38 al. 4 et 39 al. 3, que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(cf. également art. 44 al. 3 LcFDN). Il apparaît ainsi que ce sont les communes bourgeoisiales, en tant que propriétaires des forêts, qui doivent demander aux communes municipales le versement de la subvention. Cela étant, selon le contrat de prestations conclu entre le canton du Valais et le recourant pour le programme « Forêts de protection 2012-2015 » (pièce recourant n° 10), le versement par le canton des montants convenus intervient sur demande du triage forestier (cf. ch. 6.3 dudit contrat). En outre, ce contrat prévoit que la participation des communes municipales au sens de l'art. 48 LcFDN est à solliciter par le triage forestier (cf. ch. 5.3 dudit contrat). Toutefois et comme le Tribunal fédéral l'a relevé dans son arrêt susmentionné, ni la loi, ni les conventions ne déterminent expressément qui est le bénéficiaire des subventions cantonales et communales.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Il s'agit dès lors de déterminer ce dernier, puisque, comme on l'a vu précédemment (cf. consid. 3.2.2 et 3.2.3 ci-avant), pour que l'art. 18 al. 2 let. a LTVA soit applicable, il est nécessaire que le versement intervienne au bénéficiaire de la subvention, directement ou indirectement, en vue d'encourager et de soutenir un certain comportement d'intérêt public (voir aussi arrêt du TF 2C_323/2019 précité consid. 7.3 et référence citée).</w:t>
      </w:r>
    </w:p>
    <w:p>
      <w:r>
        <w:rPr>
          <w:b/>
        </w:rPr>
        <w:t>E. 5.3</w:t>
      </w:r>
    </w:p>
    <w:p>
      <w:r>
        <w:t>Or, sur ce point, dans son arrêt 2C_323/2019 susmentionné (consid. 7.3), le Tribunal fédéral a considéré, contrairement au Tribunal administratif fédéral avant lui, que seul compte le fait que les communes bourgeoisiales, en tant que propriétaires, sont responsables de la gestion des forêts et qu'il leur revient donc d'assumer les tâches d'entretien et de remise en état des forêts protectrices et de leurs infrastructures (art. 48 al. 1 LcFDN), ainsi que l'obligation de prendre des mesures en faveur de la biodiversité en forêt (art. 49 al. 1 LcFDN). Il a à cette occasion également relevé qu'il n'est pas pertinent que l'exécution de ces tâches et obligations soit légalement déléguée à un tiers (cf. consid. 4.1 et 4.2 ci-avant), soit en l'occurrence le recourant, ou encore que le contrat de prestations précité (cf. ch. 5.2 et 6.3) prévoie la possibilité de déléguer l'exécution des travaux à des tiers et qu'il revient au triage forestier de leur attribuer des crédits (cf. consid. 7.3 et 7.4). Le Tribunal fédéral a également observé que dans la mesure où le triage forestier est composé des communes bourgeoisiales propriétaires des forêts, sa volonté ne peut être formée que par celle desdites communes et qu'il n'est par conséquent pas nécessaire que le triage reçoive des instructions (consid. 7.4). Enfin, le Tribunal fédéral a considéré que le fait que les décisions allouant les subventions en cause soient directement adressées par l'Etat au triage forestier, soit en l'espèce le recourant (cf. pièce recourant n° 11), et que ce soit celui-ci qui, le cas échéant, peut les contester, ne change rien au fait que les bénéficiaires de ces subventions restent les communes bourgeoisiales qui le composent (consid. 7.4).</w:t>
      </w:r>
    </w:p>
    <w:p>
      <w:r>
        <w:rPr>
          <w:b/>
        </w:rPr>
        <w:t>E. 5.4</w:t>
      </w:r>
    </w:p>
    <w:p>
      <w:r>
        <w:t>Il convient ainsi de retenir que si les subventions versées par le canton du Valais et les communes municipales au recourant durant les années 2010 à 2014 l'ont certes été dans un but d'exécution de tâches prescrites par le droit public cantonal, comme le Tribunal fédéral l'a relevé dans son arrêt 2C_323/2019 (consid. 7.5), ce n'est pas le recourant, mais bien les commune bourgeoisiales propriétaires des forêts, qui en étaient les bénéficiaires. Aussi, dans la mesure où ces dernières n'ont pas elles-mêmes effectué ces tâches, mais en ont délégué l'exécution à un tiers, à savoir le recourant, celui-ci se retrouve à fournir une prestation, rétribuée par une contre-prestation financière (cf. consid. 3.2.2 ci-avant). Comme on l'a vu (cf. consid. 3.2.3 ci-avant), à ce stade, les montants versés n'ont plus le caractère de subventions au sens de l'art. 18 al. 2 let. a LTVA, mais constituent bien la contrepartie de la prestation fournie par le recourant. Attendu, en outre, que le montant des subventions cantonales et communales est calculé sur la base des coûts reconnus par le canton (cf. consid. 4.2 ci-avant) et que les tâches prescrites par le droit cantonal qu'elle visent à soutenir sont exclusivement financées par lesdites subventions, l'existence d'un rapport économique étroit entre la prestation fournie par le recourant et les montants qui lui sont remis doit être admis. Dans ces conditions, l'art. 18 al. 2 let. a LTVA ne saurait trouver application et les montants perçus par le recourant durant les années en cause pour les prestations qu'il a fournies en lien avec les forêts protectrices et la biodiversité en forêt sont imposables.</w:t>
      </w:r>
    </w:p>
    <w:p>
      <w:r>
        <w:rPr>
          <w:b/>
        </w:rPr>
        <w:t>E. 5.5</w:t>
      </w:r>
    </w:p>
    <w:p>
      <w:r>
        <w:t>Le recourant ne saurait être suivi lorsqu'il avance que l'arrêt du Tribunal fédéral 2C_323/2019 ne lui est pas opposable. Certes, dans cet arrêt, notre Haute Cour a relevé qu'il appartenait aux bourgeoisies de s'acquitter de la différence lorsque les sommes versées par le canton et les communes municipales ne suffisaient pas à rétribuer les prestations du triage forestier. Selon le Tribunal fédéral, cela démontrait d'une part que les bénéficiaires des subventions en cause sont bel et bien les communes bourgeoisiales, puisque ce sont elles qui, en définitive, supportent la charge financière de la gestion (consid. 7.3). D'autre part, aux termes de l'arrêt cité, cette situation mettait en lumière l'existence de prestations de valeur équivalente et, partant, d'un rapport économique étroit entre les prestations fournies par le triage et les montants qu'il percevait (consid. 7.3 et 7.5). En l'espèce, il ne ressort, certes, pas du dossier que le recourant facture des heures de travail aux bourgeoisies pour couvrir la différence lorsque les sommes allouées par les autorités cantonales et municipales ne permettent pas de compenser entièrement le coût des mesures en faveur des forêts protectrices et de la biodiversité en forêt. Cela ne permet cependant pas de modifier les conclusions du présent arrêt. On rappellera d'une part que selon le Tribunal fédéral, s'agissant du bénéficiaire des sommes allouées, seul compte le fait que c'est aux communes bourgeoisiales en charge de la gestion des forêts que reviennent les tâches subventionnées et qu'il importe peu à cet égard que l'exécution de ces tâches ait été légalement et conventionnellement déléguée à un tiers. L'on notera au demeurant que le fait qu'un éventuel bénéfice doive être reversé aux bourgeoisies membres du triage, comme le recourant le relève dans son écriture du 7 novembre 2019 et comme cela ressort des pièces produites à l'appui de dite écriture (cf. pièces complémentaires n° 3 [sous ch. 6] et n° 4), tend à confirmer que les communes bourgeoisiales sont bien les bénéficiaires des subventions en cause, comme dans l'arrêt 2C_323/2019 précité. D'autre part, on l'a vu (consid. 5.4 ci-avant), l'existence d'un lien économique étroit ne saurait être niée, dès lors que le montant des subventions cantonales et communales est arrêté sur la base des coûts reconnus et que les tâches déléguées au recourant sont exclusivement financées par lesdites subventions, étant au surplus rappelé qu'une équivalence absolue entre prestation et contre-prestation n'est pas nécessaire (cf. consid. 3.1 ci-avant).</w:t>
      </w:r>
    </w:p>
    <w:p>
      <w:r>
        <w:rPr>
          <w:b/>
        </w:rPr>
        <w:t>E. 5.6</w:t>
      </w:r>
    </w:p>
    <w:p>
      <w:r>
        <w:t>A titre subsidiaire, on observera encore, à la suite de l'autorité inférieure, que, quand bien même il s'agirait de considérer que le recourant est le bénéficiaire des montants alloués et pas les communes bourgeoisiales, la solution ne serait pas différente. En effet, dès lors que, comme l'a souligné le Tribunal fédéral, les tâches liées aux forêts protectrices et à la biodiversité en forêt reviennent aux bourgeoisies, qui sont responsables de la gestion des forêts dont elles sont propriétaires, lesdits montants, en tant qu'ils ne seraient pas versés à celui à qui incombe l'exécution des tâches prescrites par le droit public cantonal, ne sauraient alors être qualifiés d'indemnités au sens de l'art. 5 al. 1 let. a 1er tiret LcSu. L'on serait ainsi en présence de versements effectués par un tiers en lien avec les prestations que le recourant fournit aux communes bourgeoisiales. Dans la mesure où il s'agirait en outre de retenir que de tels versements, fixés en fonction desdites prestations, sont effectués dans l'intérêt prépondérant du destinataire de la prestation, à savoir les communes bourgeoisiales auxquelles incombent les tâches susdites, force serait alors de considérer qu'ils se trouvent en lien économique étroit avec les prestations du recourant (cf. à cet égard le message du Conseil fédéral du 2 juin 2008 sur la simplification de la TVA in : FF 2008 6277, p. 6331) et, partant, devraient être qualifiés de contre-prestations imposables de tiers au sens de l'art. 3 let. f LTVA (cf. consid. 3.1 ci-avant). Dans cette hypothèse, les prestations effectuées par le recourant au profit des communes bourgeoisiales seraient donc de toute façon imposables.</w:t>
      </w:r>
    </w:p>
    <w:p>
      <w:r>
        <w:rPr>
          <w:b/>
        </w:rPr>
        <w:t>E. 5.7</w:t>
      </w:r>
    </w:p>
    <w:p>
      <w:r>
        <w:t>Le recourant ne saurait pas non plus se prévaloir utilement de la pratique administrative figurant dans la partie D de l'info TVA 19 concernant le secteur Collectivités publiques (ch. 61, Etat de fait 1). D'abord, comme cela ressort du premier paragraphe du ch. 61, ainsi que de l'état de fait visé, cette pratique se rapporte à la vente de bois et consiste à nier l'existence d'un échange de prestations entre une association forestière et les membres qui la composent en lien avec la couverture d'un éventuel déficit supporté par ces derniers en fonction de la surface de leurs forêts. Elle n'est donc pas applicable au présent litige, qui concerne le traitement fiscal des contributions cantonales et communales en faveur des forêts de protection et de la biodiversité en forêt. Comme le relève en outre l'autorité inférieure dans sa prise de position du 4 décembre 2019, l'Etat du Valais n'est pas membre du triage forestier recourant et les versements litigieux ne sont pas le fait de l'ensemble des membres de ce dernier, puisque les bourgeoisies ne consentent pour leur part pas de contributions aux forêts protectrices et aux mesures en faveur de la biodiversité en forêt. Enfin, contrairement à ce que prévoit cette pratique, les subventions du canton et des communes municipales ne sont en l'occurrence pas allouées au triage forestier recourant, mais aux communes bourgeoisiales membres de celui-ci (cf. consid. 5.4 ci-avant).</w:t>
      </w:r>
    </w:p>
    <w:p>
      <w:r>
        <w:rPr>
          <w:b/>
        </w:rPr>
        <w:t>E. 6</w:t>
      </w:r>
    </w:p>
    <w:p>
      <w:r>
        <w:t>Les considérants qui précèdent conduisent le Tribunal administratif fédéral à rejeter le recours. Dans le cadre de sa réponse au recours, l'autorité inférieure avait requis la suspension de la procédure jusqu'à droit connu dans la cause 2C_323/2019 concernant un autre triage forestier valaisan, alors pendante devant le Tribunal fédéral, requête rejetée par décision incidente du 23 juillet 2019. Compte tenu du travail qu'a nécessité cette procédure incidente et du fait que l'autorité inférieure a finalement eu gain de cause également devant le Tribunal fédéral dans le dossier 2C_323/2019, les frais et dépens de la procédure incidente suivront ceux de la cause au fond. Vu l'issue de la cause, les frais de procédure, par Fr. 6'000.--,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