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A-2636/2010 vom 17. Februar 2011</w:t>
      </w:r>
    </w:p>
    <w:p>
      <w:r>
        <w:t>Bundesverwaltungsgericht, 2011-02-17, DE</w:t>
      </w:r>
    </w:p>
    <w:p>
      <w:r>
        <w:rPr>
          <w:b/>
        </w:rPr>
        <w:t xml:space="preserve">Quelle: </w:t>
      </w:r>
      <w:r>
        <w:t>https://mcp.opencaselaw.ch/entscheid/bvger_A-2636_2010</w:t>
      </w:r>
    </w:p>
    <w:p>
      <w:r>
        <w:t>FR: TAF A-2636/2010 du 17 février 2011</w:t>
      </w:r>
    </w:p>
    <w:p>
      <w:r>
        <w:t>IT: TAF A-2636/2010 del 17 febbraio 2011</w:t>
      </w:r>
    </w:p>
    <w:p>
      <w:pPr>
        <w:pStyle w:val="Heading2"/>
      </w:pPr>
      <w:r>
        <w:t>Regeste</w:t>
      </w:r>
    </w:p>
    <w:p>
      <w:r>
        <w:t>Luftfahrtbetrieb</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Bundesverwaltungsgerichts. Eine Ausnahme, was das Sachgebiet angeht, ist nicht gegeben (Art. 32 VGG). Das Bundesverwaltungsgericht ist daher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Beschwerdebefugnis beschränkt sich nicht auf die Adressaten einer Verfügung, zur Anfechtung können vielmehr auch Dritte befugt sein. Dazu müssen sie jedoch stärker als jedermann betroffen sein und in einer besonderen, beachtenswerten nahen Beziehung zur Streitsache stehen (Isabelle Häner, Kommentar zum Bundesgesetz über das Verwaltungsverfahren (VwVG), Zürich 2008, Rz. 12 zu Art. 48 VwVG). Der Beschwerdeführer ist nicht Adressat der Verfügung vom 23. Februar 2010. Indes hat er am vorinstanzlichen Verfahren teilgenommen und wohnt im Lärmeinflussbereich des Flugfeldes. Aufgrund seines schutzwürdigen Interesses an der Änderung der Verfügung ist er zur Erhebung der vorliegenden Beschwerde ohne weiteres legitimiert, was zu Recht unbestritten ist.</w:t>
      </w:r>
    </w:p>
    <w:p>
      <w:r>
        <w:rPr>
          <w:b/>
        </w:rPr>
        <w:t>E. 1.3</w:t>
      </w:r>
    </w:p>
    <w:p>
      <w:r>
        <w:t>Im verwaltungsgerichtlichen Beschwerdeverfahren sind grundsätzlich nur Rechtsverhältnisse zu überprüfen bzw. zu beurteilen, zu denen die zuständige Verwaltungsbehörde vorgängig verbindlich - in Form einer Verfügung - Stellung genommen hat oder allenfalls hätte nehmen sollen. Insoweit bestimmt die Verfügung den beschwerdeweise weiterziehbaren Anfechtungsgegenstand. Umgekehrt fehlt es an einem Anfechtungsgegenstand und somit an einer Sachurteilsvoraussetzung, wenn und insoweit keine Verfügung ergangen ist (BGE 131 V 164 E. 2.1 mit Hinweisen). Die Verfügung als Anfechtungsobjekt bildet nicht nur den Ausgangspunkt des Beschwerdeverfahrens, sondern zugleich den Rahmen und die Begrenzung des Streitgegenstandes (Fritz Gygi, Bundesverwaltungsrechtspflege, Bern 1983, S. 45). Letzterer wird durch die Parteibegehren bestimmt und darf im Laufe des Rechtsmittelverfahrens weder erweitert noch qualitativ verändert werden; er kann sich höchstens verengen und um nicht mehr streitige Punkte reduzieren, nicht aber ausweiten (BGE 136 II 165 E. 5; André Moser/Michael Beusch/Lorenz Kneubühler, Prozessieren vor dem Bundesverwaltungsgericht, Basel 2008, S. 26, Rz. 2.8). Gegenstand der angefochtenen Verfügung bilden allfällige Massnahmen zur Lärmemissionseinschränkung im Zusammenhang mit Triebwerk-Standläufen und die dadurch notwendigen Anpassungen des Betriebsreglements. Obwohl der Betreff der Verfügung lediglich auf die Hunter-Standläufe hinweist, beschränkt sich der Verfügungsgegenstand nicht auf diese. Vielmehr geht es mit Blick auf die vorinstanzlichen Akten (vgl. u.a. Gesuch der Beschwerdegegnerin vom 7. August 2009 sowie die Stellungnahme des Beschwerdeführers vom 17. Dezember 2009) und die Verfügungsbegründung um die Triebwerkstandläufe sämtlicher Flugzeuge und Helikopter. Hingegen hat die Vorinstanz in der Verfügung zur beschwerdeweise erstmals geltend gemachten UVP-Pflicht aufgrund der geplanten baulichen Erweiterungen und der Überschreitung des Schwellenwertes von 500 Parkplätzen nicht Stellung genommen. Dazu war sie denn auch nicht verpflichtet, weil die mit der Änderung des Betriebsreglements bezweckte Lärmemissionseinschränkung eine eigenständige Zielsetzung verfolgt und in keinem Zusammenhang mit den geplanten Bauprojekten steht. Insofern lässt sich - entgegen der Auffassung des Beschwerdeführers - nicht beanstanden, dass über die Änderung des Betriebsreglements in einer separaten Verfügung und losgelöst von den hängigen Plangenehmigungsverfahren entschieden wurde. Bezüglich der verlangten UVP im Zusammenhang mit der Anzahl Parkplätze und den geplanten Bauprojekten fehlt es demnach an einem Anfechtungsgegenstand und damit an einer Sachurteilsvoraussetzung. Auf die entsprechenden Ausführungen und Beweisanträge (Augenschein und Akteneditionen) kann deshalb nicht eingetreten werden. Selbst wenn es - entgegen dem Gesagten - nicht an einem Anfechtungsobjekt mangeln würde, könnte vorliegend auf die in der Beschwerde erstmals geltend gemachten Vorbringen nicht eingegangen werden, weil der Streitgegenstand im Laufe des Rechtsmittelverfahrens nicht erweitert werden darf. Letzterer beschränkt sich vorliegend mit Blick auf die Beschwerdeanträge auf die in Ziffer 1.5 des Verfügungsdispositivs abgewiesenen Anträge des Beschwerdeführers im vorinstanzlichen Verfahren. Soweit sich die Einwände auf die neu aufgelegten Projekte beziehen, sind diese in den entsprechenden - insbesondere den vor dem Bundesverwaltungsgericht hängigen (A-8464/2010 und A-8469/2010) - Verfahren vorzubringen.</w:t>
      </w:r>
    </w:p>
    <w:p>
      <w:r>
        <w:rPr>
          <w:b/>
        </w:rPr>
        <w:t>E. 1.4</w:t>
      </w:r>
    </w:p>
    <w:p>
      <w:r>
        <w:t>Auf die frist- und formgerecht eingereichte Beschwerde (Art. 50 und 52 VwVG) ist demnach mit den unter E. 1.3 genannten Einschränkungen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In der angefochtenen Verfügung werden die massgebenden gesetzlichen Grundlagen zum Inhalt und zur Anpassung des Betriebsreglements sowie zu den Voraussetzungen der Genehmigung desselben zutreffend dargelegt (vgl. Art. 36c des Luftfahrtgesetzes vom 21. Dezember 1948 [LFG, SR 748.0] in Verbindung mit Art. 25 Abs. 2 der Verordnung vom 23. November 1994 über die Infrastruktur der Luftfahrt [VIL, SR 748.131.1]). Darauf kann verwiesen werden. Soweit die Vorinstanz bezüglich der Betriebsreglementsänderung kein Auflage- und Einspracheverfahren im Sinne von Art. 36d LFG durchgeführt hat, bleibt dies beschwerdeweise zu Recht unbeanstandet.</w:t>
      </w:r>
    </w:p>
    <w:p>
      <w:r>
        <w:rPr>
          <w:b/>
        </w:rPr>
        <w:t>E. 4</w:t>
      </w:r>
    </w:p>
    <w:p>
      <w:r>
        <w:t>Der Beschwerdeführer macht vorweg geltend, dass zu Unrecht keine UVP durchgeführt worden sei. Mit Blick auf den Anfechtungs- und Streitgegenstand (vgl. E. 1.3) ist dabei einzig zu prüfen, ob die Änderung des Betriebsreglements im Zusammenhang mit den Triebwerkstandläufen für sich alleine der UVP-Pflicht unterliegt.</w:t>
      </w:r>
    </w:p>
    <w:p>
      <w:r>
        <w:rPr>
          <w:b/>
        </w:rPr>
        <w:t>E. 4.1</w:t>
      </w:r>
    </w:p>
    <w:p>
      <w:r>
        <w:t>Art. 10a des Umweltschutzgesetzes vom 7. Oktober 1983 (USG, SR 814.01) bestimmt, dass eine Behörde möglichst frühzeitig die Umweltverträglichkeit zu prüfen hat, bevor sie über die Planung, Errichtung oder Änderung von Anlagen entscheidet (Abs. 1). Der UVP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UVP-Pflicht unterstehen (Abs. 3 Satz 1). Gemäss Art. 1 der Verordnung über die Umweltverträglichkeitsprüfung vom 19. Oktober 1988 (UVPV, SR 814.011) in Verbindung mit Ziffer 14.2 des Anhangs zur UVPV unterliegen Flugfelder mit mehr als 15'000 Flugbewegungen der UVP-Pflicht. Werden an bestehenden UVP-pflichtigen Anlagen Änderungen durchgeführt, unterliegen diese dann einer UVP, wenn sie wesentliche Umbauten, Erweiterungen oder Betriebsänderungen betreffen (Art. 2 Abs. 1 Bst. a UVPV). Gemäss ständiger Rechtsprechung ist eine Änderung im Sinne von Art. 2 Abs. 1 UVPV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(BGE 133 II 181 E. 6.2 mit Hinweisen; Urteil des Bundesverwaltungsgerichtes A-6985/2007 vom 10. Juli 2008 E. 2.5; Beatrice Wagner Pfeifer, Umweltrecht I, 3. Auflage, Zürich, Basel, Genf 2009, Rz. 687).</w:t>
      </w:r>
    </w:p>
    <w:p>
      <w:r>
        <w:rPr>
          <w:b/>
        </w:rPr>
        <w:t>E. 4.2</w:t>
      </w:r>
    </w:p>
    <w:p>
      <w:r>
        <w:t>Beim Flugfeld St. Gallen-Altenrhein handelt es sich unbestrittenermassen um eine Anlage im Sinne von Ziffer 14.2 des Anhangs zur UVPV. Entsprechend wurde am 15. Dezember 1992 im Zusammenhang mit der Einführung des Instrumentenlandesystems ein UVB erstellt. Ein weiterer UVB wurde sodann am 14. Oktober 2005 als Vorbereitung auf eine mögliche - bisher jedoch noch nicht realisierte - Konzessionierung erstellt. Bei der vorliegend zu beurteilenden Neuregelung der Triebwerkstandläufe geht es - wie die Vorinstanz zutreffend ausführt - nicht um die Errichtung einer neuen Anlage, weshalb eine UVP-Pflicht gestützt auf Art. 1 UVPV in Verbindung mit Ziffer 14.2 des Anhangs zur UVPV ausser Betracht fällt. Soweit die Neuregelung eine Betriebsänderung im Sinne von Art. 2 Abs. 1 UVPV darstellen könnte - was fraglich, jedoch vorliegend mangels Relevanz nicht abschliessend zu beurteilen ist -, würde eine UVP-Pflicht an der vorausgesetzten Wesentlichkeit der Änderung scheitern. Denn die vorliegend in Frage stehenden Massnahmen im Zusammenhang mit den Triebwerkstandläufen bezwecken einzig eine Verbesserung der Lärmbelastung. Eine Verstärkung der bestehenden oder zusätzliche Umweltbelastungen können ausgeschlossen werden. Diesbezüglich ist auch auf die zutreffenden Ausführungen des BAFU in den Stellungnahmen vom 18. Juni und 29. September 2010 zu verweisen. Die Vorinstanz hat damit die UVP-Pflicht im Zusammenhang mit der Neuregelung der Triebwerkstandläufe zu Recht verneint, weshalb sich die Beschwerde in diesem Punkt als unbegründet erweist.</w:t>
      </w:r>
    </w:p>
    <w:p>
      <w:r>
        <w:rPr>
          <w:b/>
        </w:rPr>
        <w:t>E. 5</w:t>
      </w:r>
    </w:p>
    <w:p>
      <w:r>
        <w:t>5.1 Der Beschwerdeführer macht im Weiteren geltend, dass er im vorinstanzlichen Verfahren nicht nur Massnahmen bezüglich der Hunter-Standläufe, sondern bezüglich aller Standläufe von Flugzeugen und Helikoptern gefordert sowie eine Lärmverkapselung der Triebwerkstandläufe verlangt habe. Die Vorinstanz habe hierzu überhaupt keine Abklärungen getroffen.</w:t>
      </w:r>
    </w:p>
    <w:p>
      <w:r>
        <w:rPr>
          <w:b/>
        </w:rPr>
        <w:t>E. 5.2</w:t>
      </w:r>
    </w:p>
    <w:p>
      <w:r>
        <w:t>Die Vorinstanz bringt dagegen vor, dass die massgebenden Immissionsgrenzwerte (IGW) auf dem Flugfeld St. Gallen-Altenrhein eingehalten würden und sich einzig gestützt auf das Vorsorgeprinzip nach Art. 11 Abs. 2 USG eine Neuregelung der Hunter-Standläufe aufgedrängt habe. Die verlangten weitergehenden Massnahmen seien demgegenüber unverhältnismässig und wirtschaftlich nicht tragbar.</w:t>
      </w:r>
    </w:p>
    <w:p>
      <w:r>
        <w:rPr>
          <w:b/>
        </w:rPr>
        <w:t>E. 5.3</w:t>
      </w:r>
    </w:p>
    <w:p>
      <w:r>
        <w:t>Das USG sieht vor, dass Emissionen wie Lärm durch Massnahmen bei der Quelle begrenzt werden (Emissionsbegrenzungen; Art. 11 Abs. 1 USG). Emissionen sind unabhängig von der bestehenden Umweltbelastung so weit zu begrenzen, als dies technisch und betrieblich möglich und wirtschaftlich tragbar ist (Art. 11 Abs. 2 USG). Die wirtschaftliche Tragbarkeit gilt als Konkretisierung der Zumutbarkeit (Verhältnismässigkeit im engeren Sinne), welche dann zu bejahen ist, wenn ein angemessenes Verhältnis zwischen dem Nutzen der Massnahme und der Schwere der damit verbundenen Nachteile besteht (BGE 127 II 306 E. 8 mit Hinweisen). Das Vorsorgeprinzip soll dazu dienen, unüberschaubare Risiken zu vermeiden und eine Sicherheitsmarge zu schaffen, welche Unsicherheiten über längerfristige Wirkungen von Umweltbelastungen berücksichtigt (vgl. BGE 131 II 431 E. 4.1 mit zahlreichen Hinweisen). In Art. 12 Abs. 1 USG werden mögliche Emissionsbegrenzungen wie beispielsweise der Erlass von Emissionsgrenzwerten (Bst. a) oder Verkehrs- und Betriebsvorschriften (Bst. c) aufgezählt. Diese Begrenzungen werden durch Verordnungen oder, soweit diese nichts vorsehen, durch unmittelbar auf dieses Gesetz abgestützte Verfügungen vorgeschrieben (Art. 12 Abs. 2 USG). Gemäss Rechtsprechung werden emissionsbegrenzende Massnahmen grundsätzlich auch dann als verhältnismässig erachtet, wenn sich damit geringfügige Emissionen mit kleinem Aufwand erheblich verringern lassen. Erweist sich hingegen eine Reduktion bei derartigen Emissionen als unverhältnismässig oder sogar unmöglich, so sind solche Immissionen von den Betroffenen hinzunehmen (BGE 133 II 169 E. 3.2 mit Hinweisen; Urteil des Bundesverwaltungsgerichts A-1985/2006 vom 14. Februar 2008 E. 21.7.1).</w:t>
      </w:r>
    </w:p>
    <w:p>
      <w:r>
        <w:rPr>
          <w:b/>
        </w:rPr>
        <w:t>E. 5.4</w:t>
      </w:r>
    </w:p>
    <w:p>
      <w:r>
        <w:t>Die Vorinstanz erachtete eine Neuregelung der Hunter-Standläufe mit Blick auf das Vorsorgeprinzip als angezeigt. Entsprechend genehmigte sie die Änderungen im Betriebsreglement, wonach pro Jahr maximal fünf Hunter-Standläufe und diese ausschliesslich von Montag bis Freitag zwischen 14.00 und 16.00 Uhr erlaubt seien. In der Replik vom 6. September 2010 erwähnt der Beschwerdeführer ausdrücklich, dass sich die Beschwerde nicht gegen die Beschränkungen bezüglich der Hunter-Standläufe richte, weshalb sich Weiterungen zu diesem Punkt erübrigen.</w:t>
      </w:r>
    </w:p>
    <w:p>
      <w:r>
        <w:rPr>
          <w:b/>
        </w:rPr>
        <w:t>E. 5.5</w:t>
      </w:r>
    </w:p>
    <w:p>
      <w:r>
        <w:t>Der Beschwerdeführer verlangt dagegen u.a. eine Lärmverkapselung der Triebwerkstandläufe. Für eine solche Massnahme besteht, selbst wenn sie technisch und betrieblich möglich wäre, mit Blick auf die wirtschaftliche Tragbarkeit bzw. die Zumutbarkeit (Verhältnismässigkeit im engeren Sinne) kein Anlass. Dass sich eine Lärmverkapselung eignen würde, die Lärmemissionen zu begrenzen, steht zwar ausser Frage. Hingegen ist zu beachten, dass - wie das BAFU als Fachbehörde bestätigt - die IGW bezüglich der Triebwerkstandläufe vorliegend nicht überschritten werden. Zudem stehen mildere Mittel zur Emmissionsbegrenzung zur Verfügung, was beispielsweise mit der Neuregelung der Hunter-Standläufe umgesetzt wird. Bei der beschwerdeweise beantragten Lärmverkapselung handelt es sich um eine Anlage, die offensichtlich zu erheblichen Investitionskosten und zu weitreichenden betrieblichen Umstellungen führen würde. Sie hätte für die Beschwerdegegnerin grosse finanzielle und betriebliche - mithin unverhältnismässige - Einschränkungen zur Folge. Soweit der Beschwerdeführer mit der beantragten Massnahme auf eine vollständige Lärmeinschränkung bezüglich der Triebwerkstandläufe zielt, besteht darauf auch kein Anspruch. Denn das Vorsorgeprinzip hat nicht emissionseliminierenden, sondern lediglich emissisonsbegrenzenden Charakter. Nicht jeder im strengen Sinne unnötige Lärm muss völlig untersagt werden. Es gibt keinen Anspruch auf absolute Ruhe; vielmehr sind geringfügige, nicht erhebliche Störungen hinzunehmen (BGE 133 II 169 E. 3.2). Insgesamt vermag das Interesse des Beschwerdeführers an einer Lärmverkapselung die für die Beschwerdegegnerin damit verbundenen Nachteile nicht zu überwiegen. Dass die Vorinstanz die vom Beschwerdeführer beantragte Lärmverkapselung der Triebwerkstandläufe abgewiesen hat, ist somit nicht zu beanstanden.</w:t>
      </w:r>
    </w:p>
    <w:p>
      <w:r>
        <w:rPr>
          <w:b/>
        </w:rPr>
        <w:t>E. 5.6</w:t>
      </w:r>
    </w:p>
    <w:p>
      <w:r>
        <w:t>Soweit der Beschwerdeführer schliesslich nicht nur Massnahmen bezüglich der Hunter-Standläufe, sondern bezüglich aller Standläufe von Flugzeugen und Helikoptern verlangt, erscheint dies mit Blick auf das Vorsorgeprinzip und die derzeit extensive Regelung als prüfenswert und nicht von vornherein als unhaltbar. So zeigt sich etwa bereits in der von der Beschwerdegegnerin in der Beschwerdeantwort gemachten Angabe, wonach sie freiwillig sämtliche Standläufe am Sonntag verboten habe, dass technisch und betrieblich mögliche und wirtschaftlich tragbare Massnahmen bestehen dürften. Insofern ist nicht auszuschliessen, dass sich die Lärmemissionen im Zusammenhang mit den Triebwerkstandläufen sämtlicher Flugzeuge und Helikopter mit kleinem bzw. verhältnismässigem Aufwand reduzieren lassen könnten. Die Vorinstanz äussert sich dazu im Beschwerdeverfahren lediglich mit dem allgemeinen und nicht weiter begründeten Hinweis, dass weitergehende Massnahmen unverhältnismässig und wirtschaftlich nicht tragbar seien. Soweit sie in der Verfügung erwähnt, dass die Hunter-Standläufe wesentlich lauter seien als die übrigen auf dem Flugfeld St. Gallen-Altenrhein stattfindenden Standläufe und es deshalb unter Berücksichtigung des Verhältnismässigkeitsprinzips sinnvoll und angezeigt sei, lediglich diese zu beschränken, kann ihr nicht gefolgt werden. Denn im Rahmen des Vorsorgeprinzips werden emissionsbegrenzende Massnahmen auch dann als verhältnismässig erachtet, wenn sich damit geringfügige Emissionen mit kleinem Aufwand erheblich verringern lassen (BGE 133 II 169 E. 3.2). Wie solche Massnahmen vorliegend konkret ausgestaltet werden könnten, lässt sich aufgrund der Aktenlage indes nicht verlässlich beurteilen. Mangels hinreichend erstellten Sachverhalts und aufgrund der diesbezüglich äusserst knappen Begründung der Vorinstanz kann vorliegend denn auch kein Sachentscheid gefällt werden. Da die Beantwortung der zu klärenden Frage sodann in erheblichem Masse von einer fachlichen Beurteilung abhängt, ist die Sache ausnahmsweise an die Vorinstanz zurückzuweisen (Art. 61 Abs. 1 VwVG; Urteil des Bundesgerichts 1C_277/2007 vom 30. Juni 2008 E. 2.2). Diese wird zu prüfen haben, ob und bejahendenfalls inwiefern die Lärmemissionen im Zusammenhang mit den Triebwerkstandläufen sämtlicher Flugzeuge und Helikopter im Hinblick auf das Vorsorgeprinzip verringert werden können. Die Beschwerde erweist sich demnach in diesem Punkt als begründet.</w:t>
      </w:r>
    </w:p>
    <w:p>
      <w:r>
        <w:rPr>
          <w:b/>
        </w:rPr>
        <w:t>E. 6</w:t>
      </w:r>
    </w:p>
    <w:p>
      <w:r>
        <w:t>Zusammenfassend ergibt sich, dass die Beschwerde teilweise gutzuheissen und Ziffer 1.5 des Dispositivs der Verfügung vom 23. Februar 2010 insoweit aufzuheben ist, als damit Massnahmen zur Lärmemissionseinschränkung im Zusammenhang mit den Triebwerkstandläufen sämtlicher Flugzeuge und Helikopter abgewiesen wurden. Die Sache ist an die Vorinstanz zurückzuweisen, damit sie die notwendigen Abklärungen im Sinne des vorstehend Gesagten (E. 5.6) vornimmt. Im Übrigen ist die Beschwerde abzuweisen, soweit darauf eingetreten werden kann.</w:t>
      </w:r>
    </w:p>
    <w:p>
      <w:r>
        <w:rPr>
          <w:b/>
        </w:rPr>
        <w:t>E. 7</w:t>
      </w:r>
    </w:p>
    <w:p>
      <w:r>
        <w:t>Die Kosten des Verfahrens vor dem Bundesverwaltungsgericht werden in der Regel der unterliegenden Partei auferlegt. Unterliegt diese nur teilweise, so werden die 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Moser/Beusch/Kneubühler, a.a.O., S. 207, Rz. 4.43).</w:t>
      </w:r>
    </w:p>
    <w:p>
      <w:r>
        <w:rPr>
          <w:b/>
        </w:rPr>
        <w:t>E. 7.1</w:t>
      </w:r>
    </w:p>
    <w:p>
      <w:r>
        <w:t>Der Beschwerdeführer dringt mit seinen Anträgen lediglich insoweit durch, als er weitere Abklärungen zur Lärmemissionseinschränkung im Zusammenhang mit den Triebwerkstandläufen sämtlicher Flugzeuge und Helikopter beantragt hat. Das Obsiegen ist vorliegend mit einem Viertel zu gewichten. Folglich sind dem Beschwerdeführer dreiviertel der Verfahrenskosten von insgesamt Fr. 2'000.-- aufzuerlegen. Unter Verrechnung des geleisteten Kostenvorschusses von Fr. 2'000.-- sind ihm demzufolge Fr. 500.-- nach Eintritt der Rechtskraft des vorliegenden Urteils aus der Gerichtskasse zurückzuerstatten.</w:t>
      </w:r>
    </w:p>
    <w:p>
      <w:r>
        <w:rPr>
          <w:b/>
        </w:rPr>
        <w:t>E. 7.2</w:t>
      </w:r>
    </w:p>
    <w:p>
      <w:r>
        <w:t>Die verbleibenden Verfahrenskosten von Fr. 500.-- sind der teilweise unterliegenden Beschwerdegegnerin aufzuerlegen. Der Vorinstanz sind gemäss Art. 63 Abs. 2 VwVG keine Verfahrenskosten aufzuerlegen.</w:t>
      </w:r>
    </w:p>
    <w:p>
      <w:r>
        <w:rPr>
          <w:b/>
        </w:rPr>
        <w:t>E. 8</w:t>
      </w:r>
    </w:p>
    <w:p>
      <w:r>
        <w:t>Der ganz oder teilweise obsiegenden Partei ist von Amtes wegen oder auf Begehren eine Entschädigung für ihr erwachsene notwendige und verhältnismässig hohe Kosten zuzusprechen (Art. 64 Abs. 1 VwVG in Verbindung mit Art. 7 ff. des Reglements vom 21. Februar 2008 über die Kosten und Entschädigungen vor dem Bundesverwaltungsgericht [VGKE, SR 173.320.2]). Obsiegt die Partei nur teilweise, so ist die Parteientschädigung entsprechend zu kürzen. Das Verhältnis zwischen Obsiegen und Unterliegen entspricht demjenigen bei den Verfahrenskosten (Marcel Maillard, in: Praxiskommentar VwVG, Waldmann/Weissenberger (Hrsg.), Zürich 2009, Rz. 17 zu Art. 64 VwVG).</w:t>
      </w:r>
    </w:p>
    <w:p>
      <w:r>
        <w:rPr>
          <w:b/>
        </w:rPr>
        <w:t>E. 8.1</w:t>
      </w:r>
    </w:p>
    <w:p>
      <w:r>
        <w:t>Der teilweise obsiegende und anwaltlich vertretene Beschwerdeführer hat Anspruch auf eine reduzierte Parteientschädigung; diese bemisst sich - ausgehend von einer von Amtes wegen festzusetzenden Entschädigung in der Höhe von Fr. 4'000.-- (Art. 14 Abs. 2 VGKE) und unter Berücksichtigung seines teilweisen Unterliegens (¾) - auf Fr. 1'000.-- (inklusive Auslagen und Mehrwertsteuer) und ist der Beschwerdegegnerin aufzuerlegen.</w:t>
      </w:r>
    </w:p>
    <w:p>
      <w:r>
        <w:rPr>
          <w:b/>
        </w:rPr>
        <w:t>E. 8.2</w:t>
      </w:r>
    </w:p>
    <w:p>
      <w:r>
        <w:t>Die teilweise obsiegende Beschwerdegegnerin hat in keinem Stadium des Verfahrens eine anwaltliche oder nichtanwaltliche (berufsmässige) Vertretung in Anspruch genommen und ihr sind deshalb keine Kosten im Sinne von Art. 64 Abs. 1 VwVG entstanden (vgl. auch Art. 9 Abs. 1 Bst. a VGKE). Ihr steht deshalb keine Parteientschädigung zu.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