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A-2617/2009 vom 14. Juli 2011</w:t>
      </w:r>
    </w:p>
    <w:p>
      <w:r>
        <w:t>Bundesverwaltungsgericht, 2011-07-14, DE</w:t>
      </w:r>
    </w:p>
    <w:p>
      <w:r>
        <w:rPr>
          <w:b/>
        </w:rPr>
        <w:t xml:space="preserve">Quelle: </w:t>
      </w:r>
      <w:r>
        <w:t>https://mcp.opencaselaw.ch/entscheid/bvger_A-2617_2009</w:t>
      </w:r>
    </w:p>
    <w:p>
      <w:r>
        <w:t>FR: TAF A-2617/2009 du 14 juillet 2011</w:t>
      </w:r>
    </w:p>
    <w:p>
      <w:r>
        <w:t>IT: TAF A-2617/2009 del 14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als Betreiberin von mehreren Kraftwerken mit einer elektrischen Leistung von mindestens 50 MW (vgl. Art. 31b Abs. 2 StromVV und Anhang 2 der angefochtenen Verfügung) von der Verfügung besonders betroffen. Sie ist damit zur Beschwerde legitimiert. Wie den Ausführungen in der Beschwerdeschrift bei genauer Betrachtung zu entnehmen ist, führt die KWO - trotz einzelnen missverständlichen Formulierungen selbst in den Rechtsbegehren - nur für sich selber Beschwerde. Sie wäre denn auch nicht berechtigt, stellvertretend für andere Kraftwerksbetreiber oder gar alle betroffenen Kraftwerke mit einer elektrischen Leistung von mindestens 50 MW Beschwerde zu erheben.</w:t>
      </w:r>
    </w:p>
    <w:p>
      <w:r>
        <w:rPr>
          <w:b/>
        </w:rPr>
        <w:t>E. 3</w:t>
      </w:r>
    </w:p>
    <w:p>
      <w:r>
        <w:t>Auf die im Übrigen form- und fristgerecht eingereichte Beschwerde (Art. 50 und Art. 52 VwVG) ist einzutreten. Anzufügen ist an dieser Stelle, dass die Beschwerdeführerin in ihrer Eingabe vom 23. April 2009 lediglich die Dispositiv-Ziff. 3 der vorinstanzlichen Verfügung vom 6. März 2009 angefochten hat. Gegenstand des vorliegenden Verfahrens ist somit einzig die Überprüfung des Tarifs 2009 für allgemeine SDL, wie die Beschwerdeführerin selber konkretisiert hat. Nicht Streitgegenstand bilden dagegen die Tarife 2009 für die Netznutzung der Netzebene 1 (vgl. André Moser/Michael Beusch/Lorenz Kneubühler, Prozessieren vor dem Bundesverwaltungsgericht, Basel 2008, Rz. 2.8).</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w:t>
      </w:r>
    </w:p>
    <w:p>
      <w:r>
        <w:t>Die Beschwerdeführerin bringt in materieller Hinsicht vor, Art. 31b Abs. 2 StromVV sei in verschiedener Hinsicht gesetz- und verfassungswidrig. So bestehe für die Überwälzung von SDL-Kosten auf Kraftwerkbetreiber keine genügende formell-gesetzliche Grundlage, weshalb Dispositiv-Ziff. 3 der angefochtenen Verfügung aufzuheben sei. Weil die aufgrund von Art. 31b Abs. 2 StromVV verfügte Kostenanlastung ausserordentliche finanzielle Folgen habe, bedürfte sie gemäss Art. 164 Abs. 1 BV einer Grundlage im formellen Gesetz. Die Belastung der Kraftwerke mit SDL-Kosten widerspreche zudem klar dem in Art. 14 Abs. 2 StromVG festgeschriebenen Ausspeiseprinzip und könne auch nicht als verursachergerechte Anlastung von individuellen Kosten im Sinne von Art. 14 Abs. 3 Bst. d StromVG betrachtet werden.</w:t>
      </w:r>
    </w:p>
    <w:p>
      <w:r>
        <w:rPr>
          <w:b/>
        </w:rPr>
        <w:t>E. 5.1</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5.2</w:t>
      </w:r>
    </w:p>
    <w:p>
      <w:r>
        <w:t>Nach dem Grundsatz der Gesetzmässigkeit bedarf jedes staatliche Handeln einer gesetzlichen Grundlage (Art. 5 Abs. 1 BV).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Ehrenzeller/Mastronardi/Schweizer/Vallender [Hrsg.], 2. Aufl., Zürich 2008, Rz. 34 zu Art. 164; Thomas Sägesser, in: Kommentar BV, Rz. 17 zu Art. 182).</w:t>
      </w:r>
    </w:p>
    <w:p>
      <w:r>
        <w:rPr>
          <w:b/>
        </w:rPr>
        <w:t>E. 5.2.1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5.2.2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5.3.1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5.3.2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5.3.3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6</w:t>
      </w:r>
    </w:p>
    <w:p>
      <w:r>
        <w:t>Die Beschwerdeführerin bestreitet, dass ihr gestützt auf Art. 31b Abs. 2 StromVV Kosten für allgemeine SDL angelastet werden können. Das StromVG (insbes.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amtlich publiziert ist (BVGE 2010/49),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Grundsatzurteil gezogen worden sind, wiedergegeben.</w:t>
      </w:r>
    </w:p>
    <w:p>
      <w:r>
        <w:rPr>
          <w:b/>
        </w:rPr>
        <w:t>E. 6.1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5.2.1 f. auch Botschaft StromVG, BBl 2005 1681). Das Bundesverwaltungsgericht kann deshalb Art. 31b StromVV uneingeschränkt auf seine Gesetz- und Verfassungsmässigkeit überprüfen.</w:t>
      </w:r>
    </w:p>
    <w:p>
      <w:r>
        <w:rPr>
          <w:b/>
        </w:rPr>
        <w:t>E. 6.2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6.3</w:t>
      </w:r>
    </w:p>
    <w:p>
      <w:r>
        <w:t>Das Argument der Vorinstanz, es sei aufgrund von Art. 14 Abs. 3 Bst. d StromVG zulässig, den Kraftwerken individuell Kosten anzulasten, ist - wie die Beschwerdeführerin richtig darlegt -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6.4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6.2).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6.5</w:t>
      </w:r>
    </w:p>
    <w:p>
      <w:r>
        <w:t>Das Bundesverwaltungsgericht kommt zum Schluss, dass die Beschwerdeführerin in ihrer Eigenschaft als Betreiberin mehrerer Kraftwerke mit einer elektrischen Leistung von mindestens 50 MW nicht mit Kosten für allgemeine SDL belastet werden kann. Deshalb ist Ziff. 3 des Dispositivs der angefochtenen Verfügung, soweit sie betreffend, aufzuheben. Entsprechend muss auf die zusätzlichen - insbesondere verfassungsrechtlichen - Rügen der Beschwerdeführerin nicht weiter eingegangen werden. Da die Belastung von Kraftwerken mit Kosten für allgemeine SDL aufgrund der heutigen Gesetzesgrundlagen an sich nicht zulässig ist, erübrigt sich schliesslich auch die Prüfung, ob die Grenze von 50 MW sachlich gerechtfertigt sein könnte und ob die Vorinstanz diesbezüglich den Untersuchungsgrundsatz verletzt hätte.</w:t>
      </w:r>
    </w:p>
    <w:p>
      <w:r>
        <w:rPr>
          <w:b/>
        </w:rPr>
        <w:t>E. 7</w:t>
      </w:r>
    </w:p>
    <w:p>
      <w:r>
        <w:t>Zusammenfassend ist festzuhalten, dass Art. 31b Abs. 2 StromVV gegen Art. 164 Abs. 1 BV und Art. 14 Abs. 2 StromVG verstösst, mit andern Worten verfassungs- und gesetzwidrig ist und damit nicht angewendet werden kann. Die Beschwerde der Beschwerdeführerin ist somit gutzuheissen und Ziff. 3 des Dispositivs der angefochtenen Verfügung vom 6. März 2009 - soweit die Beschwerdeführerin betreffend - aufzuheben.</w:t>
      </w:r>
    </w:p>
    <w:p>
      <w:r>
        <w:rPr>
          <w:b/>
        </w:rPr>
        <w:t>E. 8</w:t>
      </w:r>
    </w:p>
    <w:p>
      <w:r>
        <w:t>Das Bundesverwaltungsgericht auferlegt die Verfahrenskosten grundsätzlich der unterliegenden Partei (Art. 63 Abs. 1 VwVG). Da die Beschwerdeführerin wie auch die Beschwerdegegnerin obsiegt, während der unterliegenden Vorinstanz nach Art. 63 Abs. 2 VwVG keine Verfahrenskosten auferlegt werden können, werden keine Verfahrenskosten erhoben. Demnach ist der von der Beschwerdeführerin geleistete Kostenvorschuss von Fr. 2'000.-- nach Eintritt der Rechtskraft dieses Urteils vollumfänglich zurückzuerstatten. Der vollständig obsiegenden Beschwerdeführerin steht eine Parteientschädigung für ihr erwachsene und verhältnismässig hohe Kosten zu (Art. 64 Abs. 1 VwVG und Art. 7 ff. des Reglements vom 21. Februar 2008 über die Kosten und Entschädigungen vor dem Bundesverwaltungsgericht [VGKE, SR 173.320.2]). Der Rechtsvertreter der Beschwerdeführerin hat keine Honorarnote eingereicht, weshalb die Entschädigung aufgrund der Akten festzusetzen ist (Art. 64 Abs. 2 VwVG i.V.m. Art. 14 Abs. 2 VGKE). Die Parteientschädigung für das gesamte Verfahren vor dem Bundesverwaltungsgericht ist auf Fr. 4'500.-- (inkl. Auslagen und Mehrwertsteuer) festzusetzen und der vollumfänglich unterliegenden Vorinstanz aufzuerlegen. Der nicht anwaltlich vertretenen Beschwerdegegnerin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